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07" w:rsidRDefault="008E5507" w:rsidP="008E5507">
      <w:pPr>
        <w:pStyle w:val="NormalWeb"/>
      </w:pPr>
      <w:r>
        <w:rPr>
          <w:rFonts w:ascii="Marianne" w:hAnsi="Marianne"/>
          <w:b/>
        </w:rPr>
        <w:tab/>
      </w:r>
    </w:p>
    <w:p w:rsidR="002429DD" w:rsidRDefault="008E5507" w:rsidP="008E5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470"/>
        </w:tabs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>Formation des élèves en vue du «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>Grand Oral</w:t>
      </w:r>
      <w:r>
        <w:rPr>
          <w:rFonts w:ascii="Calibri" w:hAnsi="Calibri" w:cs="Calibri"/>
          <w:b/>
        </w:rPr>
        <w:t> </w:t>
      </w:r>
      <w:r>
        <w:rPr>
          <w:rFonts w:ascii="Marianne" w:hAnsi="Marianne" w:cs="Marianne"/>
          <w:b/>
        </w:rPr>
        <w:t>»</w:t>
      </w:r>
    </w:p>
    <w:p w:rsidR="008E5507" w:rsidRPr="00B741EC" w:rsidRDefault="008E5507" w:rsidP="008E5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470"/>
        </w:tabs>
        <w:jc w:val="center"/>
        <w:rPr>
          <w:rFonts w:ascii="Marianne" w:hAnsi="Marianne"/>
          <w:b/>
        </w:rPr>
      </w:pPr>
      <w:r>
        <w:rPr>
          <w:rFonts w:ascii="Marianne" w:hAnsi="Marianne"/>
          <w:b/>
        </w:rPr>
        <w:t>Outil d’aide au positionnement sur les compétences d’expression orale</w:t>
      </w:r>
    </w:p>
    <w:p w:rsidR="00675F0D" w:rsidRDefault="00675F0D"/>
    <w:p w:rsidR="00856141" w:rsidRPr="006F7184" w:rsidRDefault="00E4288B" w:rsidP="00AB56EE">
      <w:pPr>
        <w:spacing w:after="0" w:line="240" w:lineRule="auto"/>
        <w:ind w:firstLine="708"/>
        <w:jc w:val="both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 xml:space="preserve">Cet outil </w:t>
      </w:r>
      <w:r w:rsidR="00856141" w:rsidRPr="006F7184">
        <w:rPr>
          <w:rFonts w:ascii="Marianne" w:hAnsi="Marianne"/>
          <w:sz w:val="18"/>
          <w:szCs w:val="18"/>
        </w:rPr>
        <w:t>pédagogique</w:t>
      </w:r>
      <w:r w:rsidR="004C5C41" w:rsidRPr="006F7184">
        <w:rPr>
          <w:rFonts w:ascii="Marianne" w:hAnsi="Marianne"/>
          <w:sz w:val="18"/>
          <w:szCs w:val="18"/>
        </w:rPr>
        <w:t xml:space="preserve"> a été élaboré </w:t>
      </w:r>
      <w:r w:rsidR="00546574" w:rsidRPr="006F7184">
        <w:rPr>
          <w:rFonts w:ascii="Marianne" w:hAnsi="Marianne"/>
          <w:sz w:val="18"/>
          <w:szCs w:val="18"/>
        </w:rPr>
        <w:t>par un groupe de travail d’inspecteurs regro</w:t>
      </w:r>
      <w:r w:rsidR="00856141" w:rsidRPr="006F7184">
        <w:rPr>
          <w:rFonts w:ascii="Marianne" w:hAnsi="Marianne"/>
          <w:sz w:val="18"/>
          <w:szCs w:val="18"/>
        </w:rPr>
        <w:t xml:space="preserve">upant toutes les disciplines. </w:t>
      </w:r>
      <w:r w:rsidR="006F7184">
        <w:rPr>
          <w:rFonts w:ascii="Marianne" w:hAnsi="Marianne"/>
          <w:sz w:val="18"/>
          <w:szCs w:val="18"/>
        </w:rPr>
        <w:t>Il vise à accompagne</w:t>
      </w:r>
      <w:r>
        <w:rPr>
          <w:rFonts w:ascii="Marianne" w:hAnsi="Marianne"/>
          <w:sz w:val="18"/>
          <w:szCs w:val="18"/>
        </w:rPr>
        <w:t>r</w:t>
      </w:r>
      <w:r w:rsidR="006F7184">
        <w:rPr>
          <w:rFonts w:ascii="Marianne" w:hAnsi="Marianne"/>
          <w:sz w:val="18"/>
          <w:szCs w:val="18"/>
        </w:rPr>
        <w:t xml:space="preserve"> la </w:t>
      </w:r>
      <w:r w:rsidR="00856141" w:rsidRPr="006F7184">
        <w:rPr>
          <w:rFonts w:ascii="Marianne" w:hAnsi="Marianne"/>
          <w:sz w:val="18"/>
          <w:szCs w:val="18"/>
        </w:rPr>
        <w:t>réflexion des équipes sur cet objet commun à tous les enseignements qu’est le «</w:t>
      </w:r>
      <w:r w:rsidR="00856141" w:rsidRPr="006F7184">
        <w:rPr>
          <w:rFonts w:ascii="Calibri" w:hAnsi="Calibri" w:cs="Calibri"/>
          <w:sz w:val="18"/>
          <w:szCs w:val="18"/>
        </w:rPr>
        <w:t> </w:t>
      </w:r>
      <w:r w:rsidR="00856141" w:rsidRPr="006F7184">
        <w:rPr>
          <w:rFonts w:ascii="Marianne" w:hAnsi="Marianne"/>
          <w:sz w:val="18"/>
          <w:szCs w:val="18"/>
        </w:rPr>
        <w:t>Grand oral</w:t>
      </w:r>
      <w:r w:rsidR="00856141" w:rsidRPr="006F7184">
        <w:rPr>
          <w:rFonts w:ascii="Calibri" w:hAnsi="Calibri" w:cs="Calibri"/>
          <w:sz w:val="18"/>
          <w:szCs w:val="18"/>
        </w:rPr>
        <w:t> </w:t>
      </w:r>
      <w:r w:rsidR="00856141" w:rsidRPr="006F7184">
        <w:rPr>
          <w:rFonts w:ascii="Marianne" w:hAnsi="Marianne" w:cs="Marianne"/>
          <w:sz w:val="18"/>
          <w:szCs w:val="18"/>
        </w:rPr>
        <w:t>»</w:t>
      </w:r>
      <w:r w:rsidR="00856141" w:rsidRPr="006F7184">
        <w:rPr>
          <w:rFonts w:ascii="Marianne" w:hAnsi="Marianne"/>
          <w:sz w:val="18"/>
          <w:szCs w:val="18"/>
        </w:rPr>
        <w:t xml:space="preserve">. </w:t>
      </w:r>
    </w:p>
    <w:p w:rsidR="00675F0D" w:rsidRPr="005C0C35" w:rsidRDefault="00856141" w:rsidP="00AB56EE">
      <w:pPr>
        <w:spacing w:after="0" w:line="240" w:lineRule="auto"/>
        <w:ind w:firstLine="708"/>
        <w:jc w:val="both"/>
        <w:rPr>
          <w:rFonts w:ascii="Marianne" w:hAnsi="Marianne"/>
          <w:sz w:val="18"/>
          <w:szCs w:val="18"/>
        </w:rPr>
      </w:pPr>
      <w:r w:rsidRPr="006F7184">
        <w:rPr>
          <w:rFonts w:ascii="Marianne" w:hAnsi="Marianne"/>
          <w:sz w:val="18"/>
          <w:szCs w:val="18"/>
        </w:rPr>
        <w:t>Construit à partir des grandes entrées de la grille indicative du BO du 13 février 2020, il a vocation à favoriser un travail d’appropriation</w:t>
      </w:r>
      <w:r w:rsidR="006F7184">
        <w:rPr>
          <w:rFonts w:ascii="Marianne" w:hAnsi="Marianne"/>
          <w:sz w:val="18"/>
          <w:szCs w:val="18"/>
        </w:rPr>
        <w:t xml:space="preserve"> commun à toutes les disciplines </w:t>
      </w:r>
      <w:r w:rsidRPr="006F7184">
        <w:rPr>
          <w:rFonts w:ascii="Marianne" w:hAnsi="Marianne"/>
          <w:sz w:val="18"/>
          <w:szCs w:val="18"/>
        </w:rPr>
        <w:t>des différents champs de compétence</w:t>
      </w:r>
      <w:r w:rsidR="00C32AE9">
        <w:rPr>
          <w:rFonts w:ascii="Marianne" w:hAnsi="Marianne"/>
          <w:sz w:val="18"/>
          <w:szCs w:val="18"/>
        </w:rPr>
        <w:t>s</w:t>
      </w:r>
      <w:r w:rsidRPr="006F7184">
        <w:rPr>
          <w:rFonts w:ascii="Marianne" w:hAnsi="Marianne"/>
          <w:sz w:val="18"/>
          <w:szCs w:val="18"/>
        </w:rPr>
        <w:t xml:space="preserve"> en jeu lors d’une prise de parole argumentée devant un public</w:t>
      </w:r>
      <w:r w:rsidRPr="005C0C35">
        <w:rPr>
          <w:rFonts w:ascii="Marianne" w:hAnsi="Marianne"/>
          <w:sz w:val="18"/>
          <w:szCs w:val="18"/>
        </w:rPr>
        <w:t xml:space="preserve">. </w:t>
      </w:r>
      <w:r w:rsidR="003F138B" w:rsidRPr="005C0C35">
        <w:rPr>
          <w:rFonts w:ascii="Marianne" w:hAnsi="Marianne"/>
          <w:sz w:val="18"/>
          <w:szCs w:val="18"/>
        </w:rPr>
        <w:t xml:space="preserve">Toute forme </w:t>
      </w:r>
      <w:r w:rsidR="005C0C35">
        <w:rPr>
          <w:rFonts w:ascii="Marianne" w:hAnsi="Marianne"/>
          <w:sz w:val="18"/>
          <w:szCs w:val="18"/>
        </w:rPr>
        <w:t xml:space="preserve">et toute situation </w:t>
      </w:r>
      <w:r w:rsidR="003F138B" w:rsidRPr="005C0C35">
        <w:rPr>
          <w:rFonts w:ascii="Marianne" w:hAnsi="Marianne"/>
          <w:sz w:val="18"/>
          <w:szCs w:val="18"/>
        </w:rPr>
        <w:t>d'oral permet</w:t>
      </w:r>
      <w:r w:rsidR="005C0C35">
        <w:rPr>
          <w:rFonts w:ascii="Marianne" w:hAnsi="Marianne"/>
          <w:sz w:val="18"/>
          <w:szCs w:val="18"/>
        </w:rPr>
        <w:t>tent</w:t>
      </w:r>
      <w:r w:rsidR="003F138B" w:rsidRPr="005C0C35">
        <w:rPr>
          <w:rFonts w:ascii="Marianne" w:hAnsi="Marianne"/>
          <w:sz w:val="18"/>
          <w:szCs w:val="18"/>
        </w:rPr>
        <w:t xml:space="preserve"> un positionnement sur ces compétences.</w:t>
      </w:r>
    </w:p>
    <w:p w:rsidR="006F7184" w:rsidRPr="006F7184" w:rsidRDefault="006F7184" w:rsidP="00AB56EE">
      <w:pPr>
        <w:spacing w:after="0" w:line="240" w:lineRule="auto"/>
        <w:ind w:firstLine="708"/>
        <w:jc w:val="both"/>
        <w:rPr>
          <w:rFonts w:ascii="Marianne" w:hAnsi="Marianne"/>
          <w:sz w:val="18"/>
          <w:szCs w:val="18"/>
        </w:rPr>
      </w:pPr>
      <w:r w:rsidRPr="006F7184">
        <w:rPr>
          <w:rFonts w:ascii="Marianne" w:hAnsi="Marianne"/>
          <w:sz w:val="18"/>
          <w:szCs w:val="18"/>
        </w:rPr>
        <w:t xml:space="preserve">Cet outil d’aide au positionnement peut servir à penser la progressivité des apprentissages en favorisant l’observation et l’auto-observation des élèves. </w:t>
      </w:r>
      <w:r>
        <w:rPr>
          <w:rFonts w:ascii="Marianne" w:hAnsi="Marianne"/>
          <w:sz w:val="18"/>
          <w:szCs w:val="18"/>
        </w:rPr>
        <w:t xml:space="preserve">Il </w:t>
      </w:r>
      <w:r w:rsidR="001C3040">
        <w:rPr>
          <w:rFonts w:ascii="Marianne" w:hAnsi="Marianne"/>
          <w:sz w:val="18"/>
          <w:szCs w:val="18"/>
        </w:rPr>
        <w:t xml:space="preserve">peut faire l’objet d’une </w:t>
      </w:r>
      <w:r>
        <w:rPr>
          <w:rFonts w:ascii="Marianne" w:hAnsi="Marianne"/>
          <w:sz w:val="18"/>
          <w:szCs w:val="18"/>
        </w:rPr>
        <w:t>réécriture et d’</w:t>
      </w:r>
      <w:r w:rsidR="001C3040">
        <w:rPr>
          <w:rFonts w:ascii="Marianne" w:hAnsi="Marianne"/>
          <w:sz w:val="18"/>
          <w:szCs w:val="18"/>
        </w:rPr>
        <w:t xml:space="preserve">une </w:t>
      </w:r>
      <w:r>
        <w:rPr>
          <w:rFonts w:ascii="Marianne" w:hAnsi="Marianne"/>
          <w:sz w:val="18"/>
          <w:szCs w:val="18"/>
        </w:rPr>
        <w:t xml:space="preserve">explicitation en équipe et/ou avec les élèves qui permette </w:t>
      </w:r>
      <w:r w:rsidR="001C3040">
        <w:rPr>
          <w:rFonts w:ascii="Marianne" w:hAnsi="Marianne"/>
          <w:sz w:val="18"/>
          <w:szCs w:val="18"/>
        </w:rPr>
        <w:t xml:space="preserve">un travail commun </w:t>
      </w:r>
      <w:bookmarkStart w:id="0" w:name="_GoBack"/>
      <w:bookmarkEnd w:id="0"/>
      <w:r w:rsidR="00C32AE9">
        <w:rPr>
          <w:rFonts w:ascii="Marianne" w:hAnsi="Marianne"/>
          <w:sz w:val="18"/>
          <w:szCs w:val="18"/>
        </w:rPr>
        <w:t>sur les enjeux de cet exercice complexe et sur les différents niveaux de maîtrise de celui-ci.</w:t>
      </w:r>
    </w:p>
    <w:p w:rsidR="00675F0D" w:rsidRPr="006F7184" w:rsidRDefault="00675F0D" w:rsidP="00AB56EE">
      <w:pPr>
        <w:spacing w:line="240" w:lineRule="auto"/>
        <w:rPr>
          <w:rFonts w:ascii="Marianne" w:hAnsi="Marianne"/>
          <w:sz w:val="18"/>
          <w:szCs w:val="18"/>
        </w:rPr>
      </w:pPr>
    </w:p>
    <w:p w:rsidR="00675F0D" w:rsidRDefault="00675F0D"/>
    <w:tbl>
      <w:tblPr>
        <w:tblStyle w:val="Grilledutableau"/>
        <w:tblW w:w="9886" w:type="dxa"/>
        <w:tblInd w:w="0" w:type="dxa"/>
        <w:tblLook w:val="04A0" w:firstRow="1" w:lastRow="0" w:firstColumn="1" w:lastColumn="0" w:noHBand="0" w:noVBand="1"/>
      </w:tblPr>
      <w:tblGrid>
        <w:gridCol w:w="1389"/>
        <w:gridCol w:w="1838"/>
        <w:gridCol w:w="1550"/>
        <w:gridCol w:w="1643"/>
        <w:gridCol w:w="1609"/>
        <w:gridCol w:w="1857"/>
      </w:tblGrid>
      <w:tr w:rsidR="00675F0D" w:rsidRPr="001A5EFB" w:rsidTr="00B30085">
        <w:trPr>
          <w:trHeight w:val="8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D" w:rsidRPr="001A5EFB" w:rsidRDefault="00675F0D" w:rsidP="00B30085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F0D" w:rsidRPr="001A5EFB" w:rsidRDefault="00675F0D" w:rsidP="00B30085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1A5EFB">
              <w:rPr>
                <w:rFonts w:ascii="Marianne" w:hAnsi="Marianne"/>
                <w:b/>
                <w:sz w:val="18"/>
                <w:szCs w:val="18"/>
              </w:rPr>
              <w:t>Qualité de la parole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5F0D" w:rsidRPr="001A5EFB" w:rsidRDefault="00675F0D" w:rsidP="00B30085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1A5EFB">
              <w:rPr>
                <w:rFonts w:ascii="Marianne" w:hAnsi="Marianne"/>
                <w:b/>
                <w:sz w:val="18"/>
                <w:szCs w:val="18"/>
              </w:rPr>
              <w:t>Qualité du discours</w:t>
            </w:r>
          </w:p>
          <w:p w:rsidR="00675F0D" w:rsidRPr="001A5EFB" w:rsidRDefault="00675F0D" w:rsidP="00B30085">
            <w:pPr>
              <w:jc w:val="center"/>
              <w:rPr>
                <w:rFonts w:ascii="Marianne" w:hAnsi="Marianne"/>
                <w:b/>
                <w:color w:val="FF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F0D" w:rsidRPr="001A5EFB" w:rsidRDefault="00675F0D" w:rsidP="00B30085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1A5EFB">
              <w:rPr>
                <w:rFonts w:ascii="Marianne" w:hAnsi="Marianne"/>
                <w:b/>
                <w:sz w:val="18"/>
                <w:szCs w:val="18"/>
              </w:rPr>
              <w:t>Qualité des connaissances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F0D" w:rsidRPr="001A5EFB" w:rsidRDefault="00675F0D" w:rsidP="00B30085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1A5EFB">
              <w:rPr>
                <w:rFonts w:ascii="Marianne" w:hAnsi="Marianne"/>
                <w:b/>
                <w:sz w:val="18"/>
                <w:szCs w:val="18"/>
              </w:rPr>
              <w:t>Qualité de l’interaction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75F0D" w:rsidRPr="001A5EFB" w:rsidRDefault="00675F0D" w:rsidP="00B30085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1A5EFB">
              <w:rPr>
                <w:rFonts w:ascii="Marianne" w:hAnsi="Marianne"/>
                <w:b/>
                <w:sz w:val="18"/>
                <w:szCs w:val="18"/>
              </w:rPr>
              <w:t>Qualité de l’argumentation</w:t>
            </w:r>
          </w:p>
        </w:tc>
      </w:tr>
      <w:tr w:rsidR="00675F0D" w:rsidRPr="001A5EFB" w:rsidTr="00B3008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75F0D" w:rsidRPr="001A5EFB" w:rsidRDefault="00675F0D" w:rsidP="00B30085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1A5EFB">
              <w:rPr>
                <w:rFonts w:ascii="Marianne" w:hAnsi="Marianne"/>
                <w:b/>
                <w:sz w:val="18"/>
                <w:szCs w:val="18"/>
              </w:rPr>
              <w:t>Insuffisant</w:t>
            </w:r>
          </w:p>
          <w:p w:rsidR="00675F0D" w:rsidRPr="001A5EFB" w:rsidRDefault="00675F0D" w:rsidP="00B30085">
            <w:pPr>
              <w:rPr>
                <w:rFonts w:ascii="Marianne" w:hAnsi="Marianne"/>
                <w:b/>
                <w:sz w:val="18"/>
                <w:szCs w:val="18"/>
              </w:rPr>
            </w:pPr>
          </w:p>
          <w:p w:rsidR="00675F0D" w:rsidRPr="001A5EFB" w:rsidRDefault="00675F0D" w:rsidP="00B30085">
            <w:pPr>
              <w:rPr>
                <w:rFonts w:ascii="Marianne" w:hAnsi="Marianne"/>
                <w:sz w:val="18"/>
                <w:szCs w:val="18"/>
              </w:rPr>
            </w:pPr>
          </w:p>
          <w:p w:rsidR="00675F0D" w:rsidRPr="001A5EFB" w:rsidRDefault="00675F0D" w:rsidP="00B30085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Difficulté à se faire entendre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 xml:space="preserve">Discours mal </w:t>
            </w:r>
            <w:proofErr w:type="gramStart"/>
            <w:r w:rsidRPr="008E50C8">
              <w:rPr>
                <w:rFonts w:ascii="Marianne" w:hAnsi="Marianne"/>
                <w:sz w:val="16"/>
                <w:szCs w:val="16"/>
              </w:rPr>
              <w:t>maîtrisé</w:t>
            </w:r>
            <w:proofErr w:type="gramEnd"/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Formulations difficilement intelligibles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Énoncés sans structure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 xml:space="preserve">Aucune mobilisation des connaissances 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 xml:space="preserve">Incapacité à répondre aux questions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Échanges courts et inaboutis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Pas de prise en compte de l’interlocuteur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Pas d’argumentation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Propos qui fait se succéder des remarques sans lien entre elles</w:t>
            </w:r>
          </w:p>
        </w:tc>
      </w:tr>
      <w:tr w:rsidR="00675F0D" w:rsidRPr="001A5EFB" w:rsidTr="00B3008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75F0D" w:rsidRPr="001A5EFB" w:rsidRDefault="00675F0D" w:rsidP="00B30085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1A5EFB">
              <w:rPr>
                <w:rFonts w:ascii="Marianne" w:hAnsi="Marianne"/>
                <w:b/>
                <w:sz w:val="18"/>
                <w:szCs w:val="18"/>
              </w:rPr>
              <w:t>Fragile</w:t>
            </w:r>
          </w:p>
          <w:p w:rsidR="00675F0D" w:rsidRPr="001A5EFB" w:rsidRDefault="00675F0D" w:rsidP="00B30085">
            <w:pPr>
              <w:rPr>
                <w:rFonts w:ascii="Marianne" w:hAnsi="Marianne"/>
                <w:b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Prise de parole sans nuances, mécanique,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monocorde mais clairement audible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D" w:rsidRPr="008E50C8" w:rsidRDefault="00675F0D" w:rsidP="00B30085">
            <w:pPr>
              <w:rPr>
                <w:rFonts w:ascii="Marianne" w:hAnsi="Marianne"/>
                <w:color w:val="FF0000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Discours assez clair dans sa progression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Vocabulaire limité ou approximatif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Connaissances réelles mais lacunaires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Difficultés à les mobiliser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D" w:rsidRPr="008E50C8" w:rsidRDefault="00675F0D" w:rsidP="00B30085">
            <w:pPr>
              <w:rPr>
                <w:rFonts w:ascii="Marianne" w:hAnsi="Marianne"/>
                <w:color w:val="FF0000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 xml:space="preserve">Amorce d’échange mais l’interaction et la capacité </w:t>
            </w:r>
            <w:r w:rsidR="00D57833">
              <w:rPr>
                <w:rFonts w:ascii="Marianne" w:hAnsi="Marianne"/>
                <w:sz w:val="16"/>
                <w:szCs w:val="16"/>
              </w:rPr>
              <w:t>à s’adapter aux relances</w:t>
            </w:r>
            <w:r w:rsidRPr="008E50C8">
              <w:rPr>
                <w:rFonts w:ascii="Marianne" w:hAnsi="Marianne"/>
                <w:sz w:val="16"/>
                <w:szCs w:val="16"/>
              </w:rPr>
              <w:t xml:space="preserve"> sont limitées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D" w:rsidRPr="008E50C8" w:rsidRDefault="00675F0D" w:rsidP="00B30085">
            <w:pPr>
              <w:rPr>
                <w:rFonts w:ascii="Marianne" w:hAnsi="Marianne"/>
                <w:strike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Amorce d’un raisonnement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Argumentation insuffisamment structurée et solide</w:t>
            </w:r>
          </w:p>
        </w:tc>
      </w:tr>
      <w:tr w:rsidR="00675F0D" w:rsidRPr="001A5EFB" w:rsidTr="00B3008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75F0D" w:rsidRPr="001A5EFB" w:rsidRDefault="00675F0D" w:rsidP="00B30085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1A5EFB">
              <w:rPr>
                <w:rFonts w:ascii="Marianne" w:hAnsi="Marianne"/>
                <w:b/>
                <w:sz w:val="18"/>
                <w:szCs w:val="18"/>
              </w:rPr>
              <w:t>Satisfaisant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Prise de parole affirmée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Recherche de variations qui soutiennent le discours et témoignent d’une intention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 xml:space="preserve">Discours bien </w:t>
            </w:r>
            <w:proofErr w:type="gramStart"/>
            <w:r w:rsidRPr="008E50C8">
              <w:rPr>
                <w:rFonts w:ascii="Marianne" w:hAnsi="Marianne"/>
                <w:sz w:val="16"/>
                <w:szCs w:val="16"/>
              </w:rPr>
              <w:t>organisé</w:t>
            </w:r>
            <w:proofErr w:type="gramEnd"/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Vocabulaire adapté et suffisamment précis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Connaissances précises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Capacité à les mobiliser à bon escient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Prise en compte de l’interlocuteur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Capacité à reformuler son propos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 xml:space="preserve">Capacité </w:t>
            </w:r>
            <w:r w:rsidR="00D57833">
              <w:rPr>
                <w:rFonts w:ascii="Marianne" w:hAnsi="Marianne"/>
                <w:sz w:val="16"/>
                <w:szCs w:val="16"/>
              </w:rPr>
              <w:t xml:space="preserve">à s’adapter aux relances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Raisonnement construit et maitrisé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Arguments pertinents</w:t>
            </w:r>
          </w:p>
        </w:tc>
      </w:tr>
      <w:tr w:rsidR="00675F0D" w:rsidRPr="001A5EFB" w:rsidTr="00B30085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75F0D" w:rsidRPr="001A5EFB" w:rsidRDefault="00675F0D" w:rsidP="00B30085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1A5EFB">
              <w:rPr>
                <w:rFonts w:ascii="Marianne" w:hAnsi="Marianne"/>
                <w:b/>
                <w:sz w:val="18"/>
                <w:szCs w:val="18"/>
              </w:rPr>
              <w:t>Expert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Une parole maîtrisée et travaillée en vue de sa réception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Le rythme et les nuances de la voix accompagnent le discours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Une parole pleinement engagée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Discours fluide, développé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Capacité à exprimer clairement un propos complexe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Vocabulaire pertinent et riche</w:t>
            </w:r>
          </w:p>
          <w:p w:rsidR="00675F0D" w:rsidRPr="008E50C8" w:rsidRDefault="00675F0D" w:rsidP="00B30085">
            <w:pPr>
              <w:rPr>
                <w:rFonts w:ascii="Marianne" w:hAnsi="Marianne"/>
                <w:color w:val="00B050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Connaissances appropriées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Capacité à les mobiliser et à les exposer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 xml:space="preserve">Capacité à développer une réflexion personnelle sur les savoirs, à faire des liens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Prise en compte de l’interlocuteur et de la situation d’interaction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Échange  riche et mené parfois par le candidat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Argumentation solide, fondée et personnelle</w:t>
            </w:r>
          </w:p>
          <w:p w:rsidR="00675F0D" w:rsidRPr="008E50C8" w:rsidRDefault="00675F0D" w:rsidP="00B30085">
            <w:pPr>
              <w:rPr>
                <w:rFonts w:ascii="Marianne" w:hAnsi="Marianne"/>
                <w:color w:val="FF0000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Capacité à développer une pensée nuancée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Esprit critique et autocritique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  <w:r w:rsidRPr="008E50C8">
              <w:rPr>
                <w:rFonts w:ascii="Marianne" w:hAnsi="Marianne"/>
                <w:sz w:val="16"/>
                <w:szCs w:val="16"/>
              </w:rPr>
              <w:t>Capacité à débattre</w:t>
            </w:r>
          </w:p>
          <w:p w:rsidR="00675F0D" w:rsidRPr="008E50C8" w:rsidRDefault="00675F0D" w:rsidP="00B30085">
            <w:pPr>
              <w:rPr>
                <w:rFonts w:ascii="Marianne" w:hAnsi="Marianne"/>
                <w:sz w:val="16"/>
                <w:szCs w:val="16"/>
              </w:rPr>
            </w:pPr>
          </w:p>
        </w:tc>
      </w:tr>
    </w:tbl>
    <w:p w:rsidR="00675F0D" w:rsidRPr="001A5EFB" w:rsidRDefault="00675F0D" w:rsidP="00675F0D">
      <w:pPr>
        <w:spacing w:after="0"/>
        <w:rPr>
          <w:rFonts w:ascii="Marianne" w:hAnsi="Marianne"/>
          <w:sz w:val="18"/>
          <w:szCs w:val="18"/>
        </w:rPr>
      </w:pPr>
    </w:p>
    <w:p w:rsidR="00C32AE9" w:rsidRDefault="00C32AE9" w:rsidP="00675F0D">
      <w:pPr>
        <w:jc w:val="center"/>
        <w:rPr>
          <w:rFonts w:ascii="Marianne" w:hAnsi="Marianne"/>
          <w:b/>
          <w:i/>
        </w:rPr>
      </w:pPr>
    </w:p>
    <w:p w:rsidR="00675F0D" w:rsidRPr="00AB56EE" w:rsidRDefault="003F138B" w:rsidP="00675F0D">
      <w:pPr>
        <w:jc w:val="center"/>
        <w:rPr>
          <w:rFonts w:ascii="Marianne" w:hAnsi="Marianne"/>
          <w:b/>
          <w:i/>
          <w:sz w:val="20"/>
          <w:szCs w:val="20"/>
        </w:rPr>
      </w:pPr>
      <w:r w:rsidRPr="00AB56EE">
        <w:rPr>
          <w:rFonts w:ascii="Marianne" w:hAnsi="Marianne"/>
          <w:b/>
          <w:i/>
          <w:sz w:val="20"/>
          <w:szCs w:val="20"/>
        </w:rPr>
        <w:t xml:space="preserve">L’observation porte sur l’ensemble </w:t>
      </w:r>
      <w:r w:rsidR="00675F0D" w:rsidRPr="00AB56EE">
        <w:rPr>
          <w:rFonts w:ascii="Marianne" w:hAnsi="Marianne"/>
          <w:b/>
          <w:i/>
          <w:sz w:val="20"/>
          <w:szCs w:val="20"/>
        </w:rPr>
        <w:t>de l’oral</w:t>
      </w:r>
    </w:p>
    <w:sectPr w:rsidR="00675F0D" w:rsidRPr="00AB5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0D"/>
    <w:rsid w:val="000E2F3B"/>
    <w:rsid w:val="001C3040"/>
    <w:rsid w:val="002429DD"/>
    <w:rsid w:val="003F138B"/>
    <w:rsid w:val="004736BE"/>
    <w:rsid w:val="004C5C41"/>
    <w:rsid w:val="00546574"/>
    <w:rsid w:val="005C0C35"/>
    <w:rsid w:val="00675F0D"/>
    <w:rsid w:val="006F7184"/>
    <w:rsid w:val="00856141"/>
    <w:rsid w:val="008E5507"/>
    <w:rsid w:val="009104E6"/>
    <w:rsid w:val="00AB56EE"/>
    <w:rsid w:val="00AF1ECF"/>
    <w:rsid w:val="00B741EC"/>
    <w:rsid w:val="00C32AE9"/>
    <w:rsid w:val="00D2171B"/>
    <w:rsid w:val="00D57833"/>
    <w:rsid w:val="00E4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F061"/>
  <w15:chartTrackingRefBased/>
  <w15:docId w15:val="{C96110B9-F60D-46C6-A172-CA6FCDAB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5F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5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cdappoigny</dc:creator>
  <cp:keywords/>
  <dc:description/>
  <cp:lastModifiedBy>cdappoigny</cp:lastModifiedBy>
  <cp:revision>2</cp:revision>
  <dcterms:created xsi:type="dcterms:W3CDTF">2021-01-05T09:11:00Z</dcterms:created>
  <dcterms:modified xsi:type="dcterms:W3CDTF">2021-01-05T09:11:00Z</dcterms:modified>
</cp:coreProperties>
</file>