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361D" w:rsidRPr="00CD361D" w:rsidRDefault="00C224C9">
      <w:pPr>
        <w:rPr>
          <w:b/>
          <w:bCs/>
          <w:sz w:val="36"/>
          <w:szCs w:val="36"/>
        </w:rPr>
      </w:pPr>
      <w:r w:rsidRPr="00CD361D">
        <w:rPr>
          <w:b/>
          <w:bCs/>
          <w:sz w:val="36"/>
          <w:szCs w:val="36"/>
        </w:rPr>
        <w:t xml:space="preserve">Chaise musicale  </w:t>
      </w:r>
    </w:p>
    <w:p w:rsidR="00CD361D" w:rsidRDefault="00CD361D"/>
    <w:p w:rsidR="00181B9E" w:rsidRPr="00CD361D" w:rsidRDefault="00CD361D">
      <w:pPr>
        <w:rPr>
          <w:b/>
          <w:bCs/>
          <w:color w:val="00B050"/>
          <w:sz w:val="28"/>
          <w:szCs w:val="28"/>
        </w:rPr>
      </w:pPr>
      <w:r w:rsidRPr="00CD361D">
        <w:rPr>
          <w:b/>
          <w:bCs/>
          <w:sz w:val="28"/>
          <w:szCs w:val="28"/>
        </w:rPr>
        <w:t>Exercice 1</w:t>
      </w:r>
      <w:proofErr w:type="gramStart"/>
      <w:r w:rsidRPr="00CD361D">
        <w:rPr>
          <w:b/>
          <w:bCs/>
          <w:sz w:val="28"/>
          <w:szCs w:val="28"/>
        </w:rPr>
        <w:t xml:space="preserve"> </w:t>
      </w:r>
      <w:r w:rsidR="00C224C9" w:rsidRPr="00CD361D">
        <w:rPr>
          <w:b/>
          <w:bCs/>
          <w:color w:val="00B050"/>
          <w:sz w:val="28"/>
          <w:szCs w:val="28"/>
        </w:rPr>
        <w:t>«Répétition</w:t>
      </w:r>
      <w:proofErr w:type="gramEnd"/>
      <w:r w:rsidR="00C224C9" w:rsidRPr="00CD361D">
        <w:rPr>
          <w:b/>
          <w:bCs/>
          <w:color w:val="00B050"/>
          <w:sz w:val="28"/>
          <w:szCs w:val="28"/>
        </w:rPr>
        <w:t> »</w:t>
      </w:r>
    </w:p>
    <w:p w:rsidR="00C224C9" w:rsidRDefault="00C224C9"/>
    <w:p w:rsidR="00C224C9" w:rsidRPr="00C224C9" w:rsidRDefault="00C224C9" w:rsidP="00C224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224C9">
        <w:rPr>
          <w:rFonts w:ascii="Times New Roman" w:eastAsia="Times New Roman" w:hAnsi="Times New Roman" w:cs="Times New Roman"/>
          <w:sz w:val="24"/>
          <w:szCs w:val="24"/>
          <w:lang w:eastAsia="fr-FR"/>
        </w:rPr>
        <w:t xml:space="preserve">Le problème de la </w:t>
      </w:r>
      <w:r w:rsidRPr="00C224C9">
        <w:rPr>
          <w:rFonts w:ascii="Times New Roman" w:eastAsia="Times New Roman" w:hAnsi="Times New Roman" w:cs="Times New Roman"/>
          <w:color w:val="00B050"/>
          <w:sz w:val="24"/>
          <w:szCs w:val="24"/>
          <w:lang w:eastAsia="fr-FR"/>
        </w:rPr>
        <w:t>répétition</w:t>
      </w:r>
      <w:r w:rsidRPr="00C224C9">
        <w:rPr>
          <w:rFonts w:ascii="Times New Roman" w:eastAsia="Times New Roman" w:hAnsi="Times New Roman" w:cs="Times New Roman"/>
          <w:sz w:val="24"/>
          <w:szCs w:val="24"/>
          <w:lang w:eastAsia="fr-FR"/>
        </w:rPr>
        <w:t xml:space="preserve"> paraît proche de la richesse lexicale, question que la lexicométrie a souvent abordée, jusqu’à satiété. Éviter la </w:t>
      </w:r>
      <w:r w:rsidRPr="00C224C9">
        <w:rPr>
          <w:rFonts w:ascii="Times New Roman" w:eastAsia="Times New Roman" w:hAnsi="Times New Roman" w:cs="Times New Roman"/>
          <w:color w:val="00B050"/>
          <w:sz w:val="24"/>
          <w:szCs w:val="24"/>
          <w:lang w:eastAsia="fr-FR"/>
        </w:rPr>
        <w:t>répétition</w:t>
      </w:r>
      <w:r w:rsidRPr="00C224C9">
        <w:rPr>
          <w:rFonts w:ascii="Times New Roman" w:eastAsia="Times New Roman" w:hAnsi="Times New Roman" w:cs="Times New Roman"/>
          <w:sz w:val="24"/>
          <w:szCs w:val="24"/>
          <w:lang w:eastAsia="fr-FR"/>
        </w:rPr>
        <w:t xml:space="preserve">, c’est gagner en variété et enrichir le texte. Ce qui diffère cependant c’est l’empan : la </w:t>
      </w:r>
      <w:r w:rsidRPr="00C224C9">
        <w:rPr>
          <w:rFonts w:ascii="Times New Roman" w:eastAsia="Times New Roman" w:hAnsi="Times New Roman" w:cs="Times New Roman"/>
          <w:color w:val="00B050"/>
          <w:sz w:val="24"/>
          <w:szCs w:val="24"/>
          <w:lang w:eastAsia="fr-FR"/>
        </w:rPr>
        <w:t>répétition</w:t>
      </w:r>
      <w:r w:rsidRPr="00C224C9">
        <w:rPr>
          <w:rFonts w:ascii="Times New Roman" w:eastAsia="Times New Roman" w:hAnsi="Times New Roman" w:cs="Times New Roman"/>
          <w:sz w:val="24"/>
          <w:szCs w:val="24"/>
          <w:lang w:eastAsia="fr-FR"/>
        </w:rPr>
        <w:t xml:space="preserve"> a une portée courte et se limite généralement à la phrase. Certes en poésie ou dans la chanson, la </w:t>
      </w:r>
      <w:r w:rsidRPr="00C224C9">
        <w:rPr>
          <w:rFonts w:ascii="Times New Roman" w:eastAsia="Times New Roman" w:hAnsi="Times New Roman" w:cs="Times New Roman"/>
          <w:color w:val="00B050"/>
          <w:sz w:val="24"/>
          <w:szCs w:val="24"/>
          <w:lang w:eastAsia="fr-FR"/>
        </w:rPr>
        <w:t>répétition</w:t>
      </w:r>
      <w:r w:rsidRPr="00C224C9">
        <w:rPr>
          <w:rFonts w:ascii="Times New Roman" w:eastAsia="Times New Roman" w:hAnsi="Times New Roman" w:cs="Times New Roman"/>
          <w:sz w:val="24"/>
          <w:szCs w:val="24"/>
          <w:lang w:eastAsia="fr-FR"/>
        </w:rPr>
        <w:t xml:space="preserve"> peut être recherchée à un niveau supérieur, de la strophe ou du poème. Et de même l’anaphore est prisée dans les couplets de l’art oratoire. </w:t>
      </w:r>
      <w:r w:rsidRPr="00C224C9">
        <w:rPr>
          <w:rFonts w:ascii="Times New Roman" w:eastAsia="Times New Roman" w:hAnsi="Times New Roman" w:cs="Times New Roman"/>
          <w:sz w:val="24"/>
          <w:szCs w:val="24"/>
          <w:lang w:eastAsia="fr-FR"/>
        </w:rPr>
        <w:t>Au-delà</w:t>
      </w:r>
      <w:r w:rsidRPr="00C224C9">
        <w:rPr>
          <w:rFonts w:ascii="Times New Roman" w:eastAsia="Times New Roman" w:hAnsi="Times New Roman" w:cs="Times New Roman"/>
          <w:sz w:val="24"/>
          <w:szCs w:val="24"/>
          <w:lang w:eastAsia="fr-FR"/>
        </w:rPr>
        <w:t xml:space="preserve">, au niveau d’un texte entier, la </w:t>
      </w:r>
      <w:r w:rsidRPr="00C224C9">
        <w:rPr>
          <w:rFonts w:ascii="Times New Roman" w:eastAsia="Times New Roman" w:hAnsi="Times New Roman" w:cs="Times New Roman"/>
          <w:color w:val="00B050"/>
          <w:sz w:val="24"/>
          <w:szCs w:val="24"/>
          <w:lang w:eastAsia="fr-FR"/>
        </w:rPr>
        <w:t xml:space="preserve">répétition </w:t>
      </w:r>
      <w:r w:rsidRPr="00C224C9">
        <w:rPr>
          <w:rFonts w:ascii="Times New Roman" w:eastAsia="Times New Roman" w:hAnsi="Times New Roman" w:cs="Times New Roman"/>
          <w:sz w:val="24"/>
          <w:szCs w:val="24"/>
          <w:lang w:eastAsia="fr-FR"/>
        </w:rPr>
        <w:t xml:space="preserve">devient moins saisissable, même si certains écrivains comme Zola ont tenté d’adapter la technique du leitmotiv, même si l’on sent souvent dans l’œuvre des reprises de thèmes, des rappels de teinte, des isotopies sous-jacentes. Le point de vue diffère aussi en ce que le problème stylistique de la </w:t>
      </w:r>
      <w:r w:rsidRPr="00C224C9">
        <w:rPr>
          <w:rFonts w:ascii="Times New Roman" w:eastAsia="Times New Roman" w:hAnsi="Times New Roman" w:cs="Times New Roman"/>
          <w:color w:val="00B050"/>
          <w:sz w:val="24"/>
          <w:szCs w:val="24"/>
          <w:lang w:eastAsia="fr-FR"/>
        </w:rPr>
        <w:t>répétition</w:t>
      </w:r>
      <w:r w:rsidRPr="00C224C9">
        <w:rPr>
          <w:rFonts w:ascii="Times New Roman" w:eastAsia="Times New Roman" w:hAnsi="Times New Roman" w:cs="Times New Roman"/>
          <w:sz w:val="24"/>
          <w:szCs w:val="24"/>
          <w:lang w:eastAsia="fr-FR"/>
        </w:rPr>
        <w:t xml:space="preserve"> n'échappe ni à la conscience, ni à la volonté de l'écrivain, au lieu que la richesse lexicale ne représente souvent qu'une caractéristique </w:t>
      </w:r>
      <w:r w:rsidRPr="00C224C9">
        <w:rPr>
          <w:rFonts w:ascii="Times New Roman" w:eastAsia="Times New Roman" w:hAnsi="Times New Roman" w:cs="Times New Roman"/>
          <w:i/>
          <w:iCs/>
          <w:sz w:val="24"/>
          <w:szCs w:val="24"/>
          <w:lang w:eastAsia="fr-FR"/>
        </w:rPr>
        <w:t>a posteriori,</w:t>
      </w:r>
      <w:r w:rsidRPr="00C224C9">
        <w:rPr>
          <w:rFonts w:ascii="Times New Roman" w:eastAsia="Times New Roman" w:hAnsi="Times New Roman" w:cs="Times New Roman"/>
          <w:sz w:val="24"/>
          <w:szCs w:val="24"/>
          <w:lang w:eastAsia="fr-FR"/>
        </w:rPr>
        <w:t xml:space="preserve"> un rapport mathématique entre V (le nombre de vocables différents) et N (le nombre d’occurrences), dont l'écrivain ne se préoccupe guère en tant que tel. Alors que la musique est faite congénitalement de </w:t>
      </w:r>
      <w:r w:rsidRPr="00C224C9">
        <w:rPr>
          <w:rFonts w:ascii="Times New Roman" w:eastAsia="Times New Roman" w:hAnsi="Times New Roman" w:cs="Times New Roman"/>
          <w:color w:val="00B050"/>
          <w:sz w:val="24"/>
          <w:szCs w:val="24"/>
          <w:lang w:eastAsia="fr-FR"/>
        </w:rPr>
        <w:t>répétitions</w:t>
      </w:r>
      <w:r w:rsidRPr="00C224C9">
        <w:rPr>
          <w:rFonts w:ascii="Times New Roman" w:eastAsia="Times New Roman" w:hAnsi="Times New Roman" w:cs="Times New Roman"/>
          <w:sz w:val="24"/>
          <w:szCs w:val="24"/>
          <w:lang w:eastAsia="fr-FR"/>
        </w:rPr>
        <w:t xml:space="preserve"> et variations, l’écrivain a horreur du déjà dit et le lecteur plus encore. Un vieux principe de rhétorique proscrit en effet la </w:t>
      </w:r>
      <w:r w:rsidRPr="00C224C9">
        <w:rPr>
          <w:rFonts w:ascii="Times New Roman" w:eastAsia="Times New Roman" w:hAnsi="Times New Roman" w:cs="Times New Roman"/>
          <w:color w:val="00B050"/>
          <w:sz w:val="24"/>
          <w:szCs w:val="24"/>
          <w:lang w:eastAsia="fr-FR"/>
        </w:rPr>
        <w:t>répétition</w:t>
      </w:r>
      <w:r w:rsidRPr="00C224C9">
        <w:rPr>
          <w:rFonts w:ascii="Times New Roman" w:eastAsia="Times New Roman" w:hAnsi="Times New Roman" w:cs="Times New Roman"/>
          <w:sz w:val="24"/>
          <w:szCs w:val="24"/>
          <w:lang w:eastAsia="fr-FR"/>
        </w:rPr>
        <w:t xml:space="preserve"> dans la phrase, du moins lorsqu'il s'agit de mots-pleins et que la distance est trop courte d'une occurrence à l'autre. Du maître d'école qui pourchasse les </w:t>
      </w:r>
      <w:r w:rsidRPr="00C224C9">
        <w:rPr>
          <w:rFonts w:ascii="Times New Roman" w:eastAsia="Times New Roman" w:hAnsi="Times New Roman" w:cs="Times New Roman"/>
          <w:color w:val="00B050"/>
          <w:sz w:val="24"/>
          <w:szCs w:val="24"/>
          <w:lang w:eastAsia="fr-FR"/>
        </w:rPr>
        <w:t>répétitions</w:t>
      </w:r>
      <w:r w:rsidRPr="00C224C9">
        <w:rPr>
          <w:rFonts w:ascii="Times New Roman" w:eastAsia="Times New Roman" w:hAnsi="Times New Roman" w:cs="Times New Roman"/>
          <w:sz w:val="24"/>
          <w:szCs w:val="24"/>
          <w:lang w:eastAsia="fr-FR"/>
        </w:rPr>
        <w:t>, à l'écrivain qui multiplie les substituts et les périphrases, c'est la même tradition de variété, dont le principe ne doit rien à la logique et tout à l’esthétique. Quand ce principe est transgressé, ce que recommande Pascal dans certains cas</w:t>
      </w:r>
      <w:hyperlink r:id="rId5" w:anchor="ftn1" w:history="1">
        <w:r w:rsidRPr="00C224C9">
          <w:rPr>
            <w:rFonts w:ascii="Times New Roman" w:eastAsia="Times New Roman" w:hAnsi="Times New Roman" w:cs="Times New Roman"/>
            <w:color w:val="0000FF"/>
            <w:sz w:val="24"/>
            <w:szCs w:val="24"/>
            <w:u w:val="single"/>
            <w:lang w:eastAsia="fr-FR"/>
          </w:rPr>
          <w:t>1</w:t>
        </w:r>
      </w:hyperlink>
      <w:r w:rsidRPr="00C224C9">
        <w:rPr>
          <w:rFonts w:ascii="Times New Roman" w:eastAsia="Times New Roman" w:hAnsi="Times New Roman" w:cs="Times New Roman"/>
          <w:sz w:val="24"/>
          <w:szCs w:val="24"/>
          <w:lang w:eastAsia="fr-FR"/>
        </w:rPr>
        <w:t xml:space="preserve">, il s'agit d'un écart, doté d'un effet marqué (« C'en est la marque », dit Pascal). </w:t>
      </w:r>
    </w:p>
    <w:p w:rsidR="00C224C9" w:rsidRPr="00C224C9" w:rsidRDefault="00C224C9" w:rsidP="00C224C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224C9">
        <w:rPr>
          <w:rFonts w:ascii="Times New Roman" w:eastAsia="Times New Roman" w:hAnsi="Times New Roman" w:cs="Times New Roman"/>
          <w:sz w:val="24"/>
          <w:szCs w:val="24"/>
          <w:lang w:eastAsia="fr-FR"/>
        </w:rPr>
        <w:t>Or Giraudoux – chez qui nous nous proposons de puiser nos premiers exemples</w:t>
      </w:r>
      <w:hyperlink r:id="rId6" w:anchor="ftn2" w:history="1">
        <w:r w:rsidRPr="00C224C9">
          <w:rPr>
            <w:rFonts w:ascii="Times New Roman" w:eastAsia="Times New Roman" w:hAnsi="Times New Roman" w:cs="Times New Roman"/>
            <w:color w:val="0000FF"/>
            <w:sz w:val="24"/>
            <w:szCs w:val="24"/>
            <w:u w:val="single"/>
            <w:lang w:eastAsia="fr-FR"/>
          </w:rPr>
          <w:t>2</w:t>
        </w:r>
      </w:hyperlink>
      <w:r w:rsidRPr="00C224C9">
        <w:rPr>
          <w:rFonts w:ascii="Times New Roman" w:eastAsia="Times New Roman" w:hAnsi="Times New Roman" w:cs="Times New Roman"/>
          <w:sz w:val="24"/>
          <w:szCs w:val="24"/>
          <w:lang w:eastAsia="fr-FR"/>
        </w:rPr>
        <w:t xml:space="preserve"> – recherche assez souvent, parfois par plaisanterie, cet effet, qu'il renforce d'ailleurs en rapprochant jusqu'à la contiguïté les occurrences du terme répété dans une construction superlative inspirée de la Bible ou de l'Antiquité. Sur le modèle du </w:t>
      </w:r>
      <w:r w:rsidRPr="00C224C9">
        <w:rPr>
          <w:rFonts w:ascii="Times New Roman" w:eastAsia="Times New Roman" w:hAnsi="Times New Roman" w:cs="Times New Roman"/>
          <w:i/>
          <w:iCs/>
          <w:sz w:val="24"/>
          <w:szCs w:val="24"/>
          <w:lang w:eastAsia="fr-FR"/>
        </w:rPr>
        <w:t>Cantique des Cantiques</w:t>
      </w:r>
      <w:r w:rsidRPr="00C224C9">
        <w:rPr>
          <w:rFonts w:ascii="Times New Roman" w:eastAsia="Times New Roman" w:hAnsi="Times New Roman" w:cs="Times New Roman"/>
          <w:sz w:val="24"/>
          <w:szCs w:val="24"/>
          <w:lang w:eastAsia="fr-FR"/>
        </w:rPr>
        <w:t xml:space="preserve"> ou du </w:t>
      </w:r>
      <w:r w:rsidRPr="00C224C9">
        <w:rPr>
          <w:rFonts w:ascii="Times New Roman" w:eastAsia="Times New Roman" w:hAnsi="Times New Roman" w:cs="Times New Roman"/>
          <w:i/>
          <w:iCs/>
          <w:sz w:val="24"/>
          <w:szCs w:val="24"/>
          <w:lang w:eastAsia="fr-FR"/>
        </w:rPr>
        <w:t>Roi des Rois</w:t>
      </w:r>
      <w:r w:rsidRPr="00C224C9">
        <w:rPr>
          <w:rFonts w:ascii="Times New Roman" w:eastAsia="Times New Roman" w:hAnsi="Times New Roman" w:cs="Times New Roman"/>
          <w:sz w:val="24"/>
          <w:szCs w:val="24"/>
          <w:lang w:eastAsia="fr-FR"/>
        </w:rPr>
        <w:t xml:space="preserve">, on trouve sous sa plume </w:t>
      </w:r>
      <w:r w:rsidRPr="00C224C9">
        <w:rPr>
          <w:rFonts w:ascii="Times New Roman" w:eastAsia="Times New Roman" w:hAnsi="Times New Roman" w:cs="Times New Roman"/>
          <w:i/>
          <w:iCs/>
          <w:sz w:val="24"/>
          <w:szCs w:val="24"/>
          <w:lang w:eastAsia="fr-FR"/>
        </w:rPr>
        <w:t>l'ombre de l'ombre, le zénith du zénith, le silence des silences, l'heure des heures, l'oncle de l'oncle</w:t>
      </w:r>
      <w:r w:rsidRPr="00C224C9">
        <w:rPr>
          <w:rFonts w:ascii="Times New Roman" w:eastAsia="Times New Roman" w:hAnsi="Times New Roman" w:cs="Times New Roman"/>
          <w:sz w:val="24"/>
          <w:szCs w:val="24"/>
          <w:lang w:eastAsia="fr-FR"/>
        </w:rPr>
        <w:t xml:space="preserve"> ou avec un calembour </w:t>
      </w:r>
      <w:r w:rsidRPr="00C224C9">
        <w:rPr>
          <w:rFonts w:ascii="Times New Roman" w:eastAsia="Times New Roman" w:hAnsi="Times New Roman" w:cs="Times New Roman"/>
          <w:i/>
          <w:iCs/>
          <w:sz w:val="24"/>
          <w:szCs w:val="24"/>
          <w:lang w:eastAsia="fr-FR"/>
        </w:rPr>
        <w:t>le signe du cygne</w:t>
      </w:r>
      <w:r w:rsidRPr="00C224C9">
        <w:rPr>
          <w:rFonts w:ascii="Times New Roman" w:eastAsia="Times New Roman" w:hAnsi="Times New Roman" w:cs="Times New Roman"/>
          <w:sz w:val="24"/>
          <w:szCs w:val="24"/>
          <w:lang w:eastAsia="fr-FR"/>
        </w:rPr>
        <w:t>. Cet effet que Giraudoux appelle un écho</w:t>
      </w:r>
      <w:hyperlink r:id="rId7" w:anchor="ftn3" w:history="1">
        <w:r w:rsidRPr="00C224C9">
          <w:rPr>
            <w:rFonts w:ascii="Times New Roman" w:eastAsia="Times New Roman" w:hAnsi="Times New Roman" w:cs="Times New Roman"/>
            <w:color w:val="0000FF"/>
            <w:sz w:val="24"/>
            <w:szCs w:val="24"/>
            <w:u w:val="single"/>
            <w:lang w:eastAsia="fr-FR"/>
          </w:rPr>
          <w:t>3</w:t>
        </w:r>
      </w:hyperlink>
      <w:r w:rsidRPr="00C224C9">
        <w:rPr>
          <w:rFonts w:ascii="Times New Roman" w:eastAsia="Times New Roman" w:hAnsi="Times New Roman" w:cs="Times New Roman"/>
          <w:sz w:val="24"/>
          <w:szCs w:val="24"/>
          <w:lang w:eastAsia="fr-FR"/>
        </w:rPr>
        <w:t xml:space="preserve"> et que Valéry désigne en recourant à l'image visuelle du miroir</w:t>
      </w:r>
      <w:hyperlink r:id="rId8" w:anchor="ftn4" w:history="1">
        <w:r w:rsidRPr="00C224C9">
          <w:rPr>
            <w:rFonts w:ascii="Times New Roman" w:eastAsia="Times New Roman" w:hAnsi="Times New Roman" w:cs="Times New Roman"/>
            <w:color w:val="0000FF"/>
            <w:sz w:val="24"/>
            <w:szCs w:val="24"/>
            <w:u w:val="single"/>
            <w:lang w:eastAsia="fr-FR"/>
          </w:rPr>
          <w:t>4</w:t>
        </w:r>
      </w:hyperlink>
      <w:r w:rsidRPr="00C224C9">
        <w:rPr>
          <w:rFonts w:ascii="Times New Roman" w:eastAsia="Times New Roman" w:hAnsi="Times New Roman" w:cs="Times New Roman"/>
          <w:sz w:val="24"/>
          <w:szCs w:val="24"/>
          <w:lang w:eastAsia="fr-FR"/>
        </w:rPr>
        <w:t xml:space="preserve"> peut se reconnaître dans la variante du relatif « </w:t>
      </w:r>
      <w:r w:rsidRPr="00C224C9">
        <w:rPr>
          <w:rFonts w:ascii="Times New Roman" w:eastAsia="Times New Roman" w:hAnsi="Times New Roman" w:cs="Times New Roman"/>
          <w:i/>
          <w:iCs/>
          <w:sz w:val="24"/>
          <w:szCs w:val="24"/>
          <w:lang w:eastAsia="fr-FR"/>
        </w:rPr>
        <w:t>sauver celle qui sauve la ville</w:t>
      </w:r>
      <w:r w:rsidRPr="00C224C9">
        <w:rPr>
          <w:rFonts w:ascii="Times New Roman" w:eastAsia="Times New Roman" w:hAnsi="Times New Roman" w:cs="Times New Roman"/>
          <w:sz w:val="24"/>
          <w:szCs w:val="24"/>
          <w:lang w:eastAsia="fr-FR"/>
        </w:rPr>
        <w:t> »</w:t>
      </w:r>
      <w:hyperlink r:id="rId9" w:anchor="ftn5" w:history="1">
        <w:r w:rsidRPr="00C224C9">
          <w:rPr>
            <w:rFonts w:ascii="Times New Roman" w:eastAsia="Times New Roman" w:hAnsi="Times New Roman" w:cs="Times New Roman"/>
            <w:color w:val="0000FF"/>
            <w:sz w:val="24"/>
            <w:szCs w:val="24"/>
            <w:u w:val="single"/>
            <w:lang w:eastAsia="fr-FR"/>
          </w:rPr>
          <w:t>5</w:t>
        </w:r>
      </w:hyperlink>
      <w:r w:rsidRPr="00C224C9">
        <w:rPr>
          <w:rFonts w:ascii="Times New Roman" w:eastAsia="Times New Roman" w:hAnsi="Times New Roman" w:cs="Times New Roman"/>
          <w:sz w:val="24"/>
          <w:szCs w:val="24"/>
          <w:lang w:eastAsia="fr-FR"/>
        </w:rPr>
        <w:t>, ou de la conjonctive « </w:t>
      </w:r>
      <w:r w:rsidRPr="00C224C9">
        <w:rPr>
          <w:rFonts w:ascii="Times New Roman" w:eastAsia="Times New Roman" w:hAnsi="Times New Roman" w:cs="Times New Roman"/>
          <w:i/>
          <w:iCs/>
          <w:sz w:val="24"/>
          <w:szCs w:val="24"/>
          <w:lang w:eastAsia="fr-FR"/>
        </w:rPr>
        <w:t>je crois que je crois aux dieux</w:t>
      </w:r>
      <w:r w:rsidRPr="00C224C9">
        <w:rPr>
          <w:rFonts w:ascii="Times New Roman" w:eastAsia="Times New Roman" w:hAnsi="Times New Roman" w:cs="Times New Roman"/>
          <w:sz w:val="24"/>
          <w:szCs w:val="24"/>
          <w:lang w:eastAsia="fr-FR"/>
        </w:rPr>
        <w:t> »</w:t>
      </w:r>
      <w:hyperlink r:id="rId10" w:anchor="ftn6" w:history="1">
        <w:r w:rsidRPr="00C224C9">
          <w:rPr>
            <w:rFonts w:ascii="Times New Roman" w:eastAsia="Times New Roman" w:hAnsi="Times New Roman" w:cs="Times New Roman"/>
            <w:color w:val="0000FF"/>
            <w:sz w:val="24"/>
            <w:szCs w:val="24"/>
            <w:u w:val="single"/>
            <w:lang w:eastAsia="fr-FR"/>
          </w:rPr>
          <w:t>6</w:t>
        </w:r>
      </w:hyperlink>
      <w:r w:rsidRPr="00C224C9">
        <w:rPr>
          <w:rFonts w:ascii="Times New Roman" w:eastAsia="Times New Roman" w:hAnsi="Times New Roman" w:cs="Times New Roman"/>
          <w:sz w:val="24"/>
          <w:szCs w:val="24"/>
          <w:lang w:eastAsia="fr-FR"/>
        </w:rPr>
        <w:t>, ou de la juxtaposition « </w:t>
      </w:r>
      <w:r w:rsidRPr="00C224C9">
        <w:rPr>
          <w:rFonts w:ascii="Times New Roman" w:eastAsia="Times New Roman" w:hAnsi="Times New Roman" w:cs="Times New Roman"/>
          <w:i/>
          <w:iCs/>
          <w:sz w:val="24"/>
          <w:szCs w:val="24"/>
          <w:lang w:eastAsia="fr-FR"/>
        </w:rPr>
        <w:t>Selon</w:t>
      </w:r>
      <w:r w:rsidRPr="00C224C9">
        <w:rPr>
          <w:rFonts w:ascii="Times New Roman" w:eastAsia="Times New Roman" w:hAnsi="Times New Roman" w:cs="Times New Roman"/>
          <w:sz w:val="24"/>
          <w:szCs w:val="24"/>
          <w:lang w:eastAsia="fr-FR"/>
        </w:rPr>
        <w:t xml:space="preserve"> </w:t>
      </w:r>
      <w:r w:rsidRPr="00C224C9">
        <w:rPr>
          <w:rFonts w:ascii="Times New Roman" w:eastAsia="Times New Roman" w:hAnsi="Times New Roman" w:cs="Times New Roman"/>
          <w:i/>
          <w:iCs/>
          <w:sz w:val="24"/>
          <w:szCs w:val="24"/>
          <w:lang w:eastAsia="fr-FR"/>
        </w:rPr>
        <w:t>que les nuages étaient blanc gris ou blanc blanc</w:t>
      </w:r>
      <w:hyperlink r:id="rId11" w:anchor="ftn7" w:history="1">
        <w:r w:rsidRPr="00C224C9">
          <w:rPr>
            <w:rFonts w:ascii="Times New Roman" w:eastAsia="Times New Roman" w:hAnsi="Times New Roman" w:cs="Times New Roman"/>
            <w:color w:val="0000FF"/>
            <w:sz w:val="24"/>
            <w:szCs w:val="24"/>
            <w:u w:val="single"/>
            <w:lang w:eastAsia="fr-FR"/>
          </w:rPr>
          <w:t>7</w:t>
        </w:r>
      </w:hyperlink>
      <w:r w:rsidRPr="00C224C9">
        <w:rPr>
          <w:rFonts w:ascii="Times New Roman" w:eastAsia="Times New Roman" w:hAnsi="Times New Roman" w:cs="Times New Roman"/>
          <w:i/>
          <w:iCs/>
          <w:sz w:val="24"/>
          <w:szCs w:val="24"/>
          <w:lang w:eastAsia="fr-FR"/>
        </w:rPr>
        <w:t> </w:t>
      </w:r>
      <w:r w:rsidRPr="00C224C9">
        <w:rPr>
          <w:rFonts w:ascii="Times New Roman" w:eastAsia="Times New Roman" w:hAnsi="Times New Roman" w:cs="Times New Roman"/>
          <w:sz w:val="24"/>
          <w:szCs w:val="24"/>
          <w:lang w:eastAsia="fr-FR"/>
        </w:rPr>
        <w:t xml:space="preserve">». La </w:t>
      </w:r>
      <w:r w:rsidRPr="00C224C9">
        <w:rPr>
          <w:rFonts w:ascii="Times New Roman" w:eastAsia="Times New Roman" w:hAnsi="Times New Roman" w:cs="Times New Roman"/>
          <w:color w:val="00B050"/>
          <w:sz w:val="24"/>
          <w:szCs w:val="24"/>
          <w:lang w:eastAsia="fr-FR"/>
        </w:rPr>
        <w:t>répétition</w:t>
      </w:r>
      <w:r w:rsidRPr="00C224C9">
        <w:rPr>
          <w:rFonts w:ascii="Times New Roman" w:eastAsia="Times New Roman" w:hAnsi="Times New Roman" w:cs="Times New Roman"/>
          <w:sz w:val="24"/>
          <w:szCs w:val="24"/>
          <w:lang w:eastAsia="fr-FR"/>
        </w:rPr>
        <w:t xml:space="preserve"> du nom là où un pronom personnel de rappel pourrait suffire marque souvent l'insistance, la force de la relation réflexive qui lie le sujet à </w:t>
      </w:r>
      <w:proofErr w:type="spellStart"/>
      <w:r w:rsidRPr="00C224C9">
        <w:rPr>
          <w:rFonts w:ascii="Times New Roman" w:eastAsia="Times New Roman" w:hAnsi="Times New Roman" w:cs="Times New Roman"/>
          <w:sz w:val="24"/>
          <w:szCs w:val="24"/>
          <w:lang w:eastAsia="fr-FR"/>
        </w:rPr>
        <w:t>lui même</w:t>
      </w:r>
      <w:proofErr w:type="spellEnd"/>
      <w:r w:rsidRPr="00C224C9">
        <w:rPr>
          <w:rFonts w:ascii="Times New Roman" w:eastAsia="Times New Roman" w:hAnsi="Times New Roman" w:cs="Times New Roman"/>
          <w:sz w:val="24"/>
          <w:szCs w:val="24"/>
          <w:lang w:eastAsia="fr-FR"/>
        </w:rPr>
        <w:t xml:space="preserve">. Ainsi dans le roman </w:t>
      </w:r>
      <w:r w:rsidRPr="00C224C9">
        <w:rPr>
          <w:rFonts w:ascii="Times New Roman" w:eastAsia="Times New Roman" w:hAnsi="Times New Roman" w:cs="Times New Roman"/>
          <w:i/>
          <w:iCs/>
          <w:sz w:val="24"/>
          <w:szCs w:val="24"/>
          <w:lang w:eastAsia="fr-FR"/>
        </w:rPr>
        <w:t>Églantine</w:t>
      </w:r>
      <w:r w:rsidRPr="00C224C9">
        <w:rPr>
          <w:rFonts w:ascii="Times New Roman" w:eastAsia="Times New Roman" w:hAnsi="Times New Roman" w:cs="Times New Roman"/>
          <w:sz w:val="24"/>
          <w:szCs w:val="24"/>
          <w:lang w:eastAsia="fr-FR"/>
        </w:rPr>
        <w:t>, la suffisance épanouie de Moïse s'étale dans les épiphores de ce type « </w:t>
      </w:r>
      <w:r w:rsidRPr="00C224C9">
        <w:rPr>
          <w:rFonts w:ascii="Times New Roman" w:eastAsia="Times New Roman" w:hAnsi="Times New Roman" w:cs="Times New Roman"/>
          <w:i/>
          <w:iCs/>
          <w:sz w:val="24"/>
          <w:szCs w:val="24"/>
          <w:lang w:eastAsia="fr-FR"/>
        </w:rPr>
        <w:t>La plupart des secrets de Moïse étaient des secrets même pour Moïse</w:t>
      </w:r>
      <w:r w:rsidRPr="00C224C9">
        <w:rPr>
          <w:rFonts w:ascii="Times New Roman" w:eastAsia="Times New Roman" w:hAnsi="Times New Roman" w:cs="Times New Roman"/>
          <w:sz w:val="24"/>
          <w:szCs w:val="24"/>
          <w:lang w:eastAsia="fr-FR"/>
        </w:rPr>
        <w:t> »</w:t>
      </w:r>
      <w:hyperlink r:id="rId12" w:anchor="ftn8" w:history="1">
        <w:r w:rsidRPr="00C224C9">
          <w:rPr>
            <w:rFonts w:ascii="Times New Roman" w:eastAsia="Times New Roman" w:hAnsi="Times New Roman" w:cs="Times New Roman"/>
            <w:color w:val="0000FF"/>
            <w:sz w:val="24"/>
            <w:szCs w:val="24"/>
            <w:u w:val="single"/>
            <w:lang w:eastAsia="fr-FR"/>
          </w:rPr>
          <w:t>8</w:t>
        </w:r>
      </w:hyperlink>
      <w:r w:rsidRPr="00C224C9">
        <w:rPr>
          <w:rFonts w:ascii="Times New Roman" w:eastAsia="Times New Roman" w:hAnsi="Times New Roman" w:cs="Times New Roman"/>
          <w:sz w:val="24"/>
          <w:szCs w:val="24"/>
          <w:lang w:eastAsia="fr-FR"/>
        </w:rPr>
        <w:t xml:space="preserve">. Dans tout le roman Moïse fait l'objet de 28 </w:t>
      </w:r>
      <w:r w:rsidRPr="00C224C9">
        <w:rPr>
          <w:rFonts w:ascii="Times New Roman" w:eastAsia="Times New Roman" w:hAnsi="Times New Roman" w:cs="Times New Roman"/>
          <w:color w:val="00B050"/>
          <w:sz w:val="24"/>
          <w:szCs w:val="24"/>
          <w:lang w:eastAsia="fr-FR"/>
        </w:rPr>
        <w:t>répétitions</w:t>
      </w:r>
      <w:r w:rsidRPr="00C224C9">
        <w:rPr>
          <w:rFonts w:ascii="Times New Roman" w:eastAsia="Times New Roman" w:hAnsi="Times New Roman" w:cs="Times New Roman"/>
          <w:sz w:val="24"/>
          <w:szCs w:val="24"/>
          <w:lang w:eastAsia="fr-FR"/>
        </w:rPr>
        <w:t xml:space="preserve">, contre 18 pour Églantine et 17 pour </w:t>
      </w:r>
      <w:proofErr w:type="spellStart"/>
      <w:r w:rsidRPr="00C224C9">
        <w:rPr>
          <w:rFonts w:ascii="Times New Roman" w:eastAsia="Times New Roman" w:hAnsi="Times New Roman" w:cs="Times New Roman"/>
          <w:sz w:val="24"/>
          <w:szCs w:val="24"/>
          <w:lang w:eastAsia="fr-FR"/>
        </w:rPr>
        <w:t>Fontranges</w:t>
      </w:r>
      <w:proofErr w:type="spellEnd"/>
      <w:r w:rsidRPr="00C224C9">
        <w:rPr>
          <w:rFonts w:ascii="Times New Roman" w:eastAsia="Times New Roman" w:hAnsi="Times New Roman" w:cs="Times New Roman"/>
          <w:sz w:val="24"/>
          <w:szCs w:val="24"/>
          <w:lang w:eastAsia="fr-FR"/>
        </w:rPr>
        <w:t xml:space="preserve"> dont la personnalité s'affirme plus discrètement</w:t>
      </w:r>
      <w:hyperlink r:id="rId13" w:anchor="ftn9" w:history="1">
        <w:r w:rsidRPr="00C224C9">
          <w:rPr>
            <w:rFonts w:ascii="Times New Roman" w:eastAsia="Times New Roman" w:hAnsi="Times New Roman" w:cs="Times New Roman"/>
            <w:color w:val="0000FF"/>
            <w:sz w:val="24"/>
            <w:szCs w:val="24"/>
            <w:u w:val="single"/>
            <w:lang w:eastAsia="fr-FR"/>
          </w:rPr>
          <w:t>9</w:t>
        </w:r>
      </w:hyperlink>
      <w:r w:rsidRPr="00C224C9">
        <w:rPr>
          <w:rFonts w:ascii="Times New Roman" w:eastAsia="Times New Roman" w:hAnsi="Times New Roman" w:cs="Times New Roman"/>
          <w:sz w:val="24"/>
          <w:szCs w:val="24"/>
          <w:lang w:eastAsia="fr-FR"/>
        </w:rPr>
        <w:t xml:space="preserve">. </w:t>
      </w:r>
    </w:p>
    <w:p w:rsidR="00C224C9" w:rsidRDefault="00C224C9"/>
    <w:p w:rsidR="002A5E48" w:rsidRDefault="002A5E48"/>
    <w:p w:rsidR="002A5E48" w:rsidRDefault="002A5E48"/>
    <w:p w:rsidR="002A5E48" w:rsidRPr="00CD361D" w:rsidRDefault="00CD361D">
      <w:pPr>
        <w:rPr>
          <w:b/>
          <w:bCs/>
          <w:sz w:val="28"/>
          <w:szCs w:val="28"/>
        </w:rPr>
      </w:pPr>
      <w:r w:rsidRPr="00CD361D">
        <w:rPr>
          <w:b/>
          <w:bCs/>
          <w:sz w:val="28"/>
          <w:szCs w:val="28"/>
        </w:rPr>
        <w:lastRenderedPageBreak/>
        <w:t xml:space="preserve">Exercice 2 – </w:t>
      </w:r>
      <w:proofErr w:type="gramStart"/>
      <w:r w:rsidRPr="00CD361D">
        <w:rPr>
          <w:b/>
          <w:bCs/>
          <w:color w:val="00B050"/>
          <w:sz w:val="28"/>
          <w:szCs w:val="28"/>
        </w:rPr>
        <w:t>Atomes</w:t>
      </w:r>
      <w:r w:rsidRPr="00CD361D">
        <w:rPr>
          <w:b/>
          <w:bCs/>
          <w:sz w:val="28"/>
          <w:szCs w:val="28"/>
        </w:rPr>
        <w:t xml:space="preserve">  (</w:t>
      </w:r>
      <w:proofErr w:type="gramEnd"/>
      <w:r w:rsidRPr="00CD361D">
        <w:rPr>
          <w:b/>
          <w:bCs/>
          <w:sz w:val="28"/>
          <w:szCs w:val="28"/>
        </w:rPr>
        <w:t>au pluriel !)</w:t>
      </w:r>
    </w:p>
    <w:p w:rsidR="002A5E48" w:rsidRDefault="002A5E48">
      <w:pPr>
        <w:rPr>
          <w:rFonts w:ascii="StoneSansSemITCTTSemiIta" w:hAnsi="StoneSansSemITCTTSemiIta" w:cs="StoneSansSemITCTTSemiIta"/>
          <w:i/>
          <w:iCs/>
          <w:color w:val="552B20"/>
          <w:sz w:val="54"/>
          <w:szCs w:val="54"/>
        </w:rPr>
      </w:pPr>
      <w:r w:rsidRPr="002A5E48">
        <w:rPr>
          <w:rFonts w:ascii="StoneSansSemITCTTSemiIta" w:hAnsi="StoneSansSemITCTTSemiIta" w:cs="StoneSansSemITCTTSemiIta"/>
          <w:i/>
          <w:iCs/>
          <w:color w:val="552B20"/>
          <w:sz w:val="54"/>
          <w:szCs w:val="54"/>
        </w:rPr>
        <w:t xml:space="preserve">Le Monde étrange des </w:t>
      </w:r>
      <w:r w:rsidRPr="00CD361D">
        <w:rPr>
          <w:rFonts w:ascii="StoneSansSemITCTTSemiIta" w:hAnsi="StoneSansSemITCTTSemiIta" w:cs="StoneSansSemITCTTSemiIta"/>
          <w:i/>
          <w:iCs/>
          <w:color w:val="00B050"/>
          <w:sz w:val="54"/>
          <w:szCs w:val="54"/>
        </w:rPr>
        <w:t>Atomes</w:t>
      </w:r>
    </w:p>
    <w:p w:rsidR="002A5E48" w:rsidRPr="00CD361D" w:rsidRDefault="002A5E48" w:rsidP="002A5E48">
      <w:pPr>
        <w:autoSpaceDE w:val="0"/>
        <w:autoSpaceDN w:val="0"/>
        <w:adjustRightInd w:val="0"/>
        <w:spacing w:after="0" w:line="240" w:lineRule="auto"/>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Avertissement</w:t>
      </w:r>
    </w:p>
    <w:p w:rsidR="002A5E48" w:rsidRPr="00CD361D" w:rsidRDefault="002A5E48" w:rsidP="002A5E48">
      <w:pPr>
        <w:autoSpaceDE w:val="0"/>
        <w:autoSpaceDN w:val="0"/>
        <w:adjustRightInd w:val="0"/>
        <w:spacing w:after="0" w:line="240" w:lineRule="auto"/>
        <w:rPr>
          <w:rFonts w:ascii="StoneSansSemITCTTSemiIta" w:hAnsi="StoneSansSemITCTTSemiIta" w:cs="StoneSansSemITCTTSemiIta"/>
          <w:i/>
          <w:iCs/>
          <w:color w:val="552B20"/>
          <w:sz w:val="24"/>
          <w:szCs w:val="24"/>
        </w:rPr>
      </w:pPr>
    </w:p>
    <w:p w:rsidR="002A5E48" w:rsidRPr="00CD361D" w:rsidRDefault="002A5E48" w:rsidP="002A5E48">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Que les chimistes et les physiciens veuillent bien me pardonner ! Les simplifications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et les raccourcis que je me suis permis d'apporter à leur sujet</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d'étude, le côté anecdotique que j’ai donné à ce petit fascicule, ainsi que son</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aspect "bande dessinée" n'ont qu'un seul but : permettre à un large public,</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peu connaisseur de la chimie, de s'intéresser à ce sujet, de comprendre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comment la</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matière est faite, de saisir la signification des formules chimiques,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d'avoir une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 xml:space="preserve">idée sur la constitution des </w:t>
      </w:r>
      <w:r w:rsidRPr="00CD361D">
        <w:rPr>
          <w:rFonts w:ascii="StoneSansSemITCTTSemiIta" w:hAnsi="StoneSansSemITCTTSemiIta" w:cs="StoneSansSemITCTTSemiIta"/>
          <w:i/>
          <w:iCs/>
          <w:color w:val="00B050"/>
          <w:sz w:val="24"/>
          <w:szCs w:val="24"/>
        </w:rPr>
        <w:t>atomes</w:t>
      </w:r>
      <w:r w:rsidRPr="00CD361D">
        <w:rPr>
          <w:rFonts w:ascii="StoneSansSemITCTTSemiIta" w:hAnsi="StoneSansSemITCTTSemiIta" w:cs="StoneSansSemITCTTSemiIta"/>
          <w:i/>
          <w:iCs/>
          <w:color w:val="552B20"/>
          <w:sz w:val="24"/>
          <w:szCs w:val="24"/>
        </w:rPr>
        <w:t xml:space="preserve"> et de faire connaissance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avec la décroissance radioactive et la fission nucléaire.</w:t>
      </w:r>
    </w:p>
    <w:p w:rsidR="002A5E48" w:rsidRPr="00CD361D" w:rsidRDefault="002A5E48" w:rsidP="002A5E48">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p>
    <w:p w:rsidR="002A5E48" w:rsidRPr="00CD361D" w:rsidRDefault="002A5E48" w:rsidP="002A5E48">
      <w:pPr>
        <w:autoSpaceDE w:val="0"/>
        <w:autoSpaceDN w:val="0"/>
        <w:adjustRightInd w:val="0"/>
        <w:spacing w:after="0" w:line="240" w:lineRule="auto"/>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Voyage dans l'infiniment petit</w:t>
      </w:r>
    </w:p>
    <w:p w:rsidR="002A5E48" w:rsidRPr="00CD361D" w:rsidRDefault="002A5E48" w:rsidP="002A5E48">
      <w:pPr>
        <w:autoSpaceDE w:val="0"/>
        <w:autoSpaceDN w:val="0"/>
        <w:adjustRightInd w:val="0"/>
        <w:spacing w:after="0" w:line="240" w:lineRule="auto"/>
        <w:rPr>
          <w:rFonts w:ascii="StoneSansSemITCTTSemiIta" w:hAnsi="StoneSansSemITCTTSemiIta" w:cs="StoneSansSemITCTTSemiIta"/>
          <w:i/>
          <w:iCs/>
          <w:color w:val="552B20"/>
          <w:sz w:val="24"/>
          <w:szCs w:val="24"/>
        </w:rPr>
      </w:pPr>
    </w:p>
    <w:p w:rsidR="002A5E48" w:rsidRPr="00CD361D" w:rsidRDefault="002A5E48" w:rsidP="002A5E48">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Si, comme Gulliver, nous pouvions débarquer dans le pays infinitésimal</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 xml:space="preserve">des </w:t>
      </w:r>
      <w:r w:rsidRPr="00CD361D">
        <w:rPr>
          <w:rFonts w:ascii="StoneSansSemITCTTSemiIta" w:hAnsi="StoneSansSemITCTTSemiIta" w:cs="StoneSansSemITCTTSemiIta"/>
          <w:i/>
          <w:iCs/>
          <w:color w:val="00B050"/>
          <w:sz w:val="24"/>
          <w:szCs w:val="24"/>
        </w:rPr>
        <w:t>atomes</w:t>
      </w:r>
      <w:r w:rsidRPr="00CD361D">
        <w:rPr>
          <w:rFonts w:ascii="StoneSansSemITCTTSemiIta" w:hAnsi="StoneSansSemITCTTSemiIta" w:cs="StoneSansSemITCTTSemiIta"/>
          <w:i/>
          <w:iCs/>
          <w:color w:val="552B20"/>
          <w:sz w:val="24"/>
          <w:szCs w:val="24"/>
        </w:rPr>
        <w:t>, nous découvririons un monde étrange, peuplé de joyeux personnages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constamment agités de mouvements dansants, unis par leurs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nombreuses mains en groupes plus ou moins importants.</w:t>
      </w:r>
    </w:p>
    <w:p w:rsidR="002A5E48" w:rsidRPr="00CD361D" w:rsidRDefault="002A5E48" w:rsidP="002A5E48">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p>
    <w:p w:rsidR="002A5E48" w:rsidRPr="00CD361D" w:rsidRDefault="002A5E48" w:rsidP="002A5E48">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Leur tête et leur tronc sont</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confondus en un corps unique,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approximativement</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sphérique, d'où partent un</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ou plusieurs bras. Certains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sont gros, d'autres petits.</w:t>
      </w:r>
    </w:p>
    <w:p w:rsidR="002A5E48" w:rsidRPr="00CD361D" w:rsidRDefault="002A5E48" w:rsidP="002A5E48">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Quelques-uns paraissent</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très légers alors que d'autres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se déplacent péniblement,</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accablés par leur</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poids qui paraît considérable.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Comme dans notre monde,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il y a des dames et des messieurs.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On les distingue facilement</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car</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les dames portent</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des habits roses et sont coiffées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d'un bonnet de dentelle.</w:t>
      </w:r>
    </w:p>
    <w:p w:rsidR="002A5E48" w:rsidRPr="00CD361D" w:rsidRDefault="002A5E48" w:rsidP="002A5E48">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Les messieurs sont habillés en bleu et ils portent un haut-de-forme. Nous verrons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 xml:space="preserve">plus loin les causes anatomiques qui déterminent le sexe d'un </w:t>
      </w:r>
      <w:r w:rsidRPr="00CD361D">
        <w:rPr>
          <w:rFonts w:ascii="StoneSansSemITCTTSemiIta" w:hAnsi="StoneSansSemITCTTSemiIta" w:cs="StoneSansSemITCTTSemiIta"/>
          <w:i/>
          <w:iCs/>
          <w:color w:val="FF0000"/>
          <w:sz w:val="24"/>
          <w:szCs w:val="24"/>
        </w:rPr>
        <w:t>atome</w:t>
      </w:r>
      <w:r w:rsidRPr="00CD361D">
        <w:rPr>
          <w:rFonts w:ascii="StoneSansSemITCTTSemiIta" w:hAnsi="StoneSansSemITCTTSemiIta" w:cs="StoneSansSemITCTTSemiIta"/>
          <w:i/>
          <w:iCs/>
          <w:color w:val="552B20"/>
          <w:sz w:val="24"/>
          <w:szCs w:val="24"/>
        </w:rPr>
        <w:t>.</w:t>
      </w:r>
    </w:p>
    <w:p w:rsidR="002A5E48" w:rsidRPr="00CD361D" w:rsidRDefault="002A5E48" w:rsidP="002A5E48">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p>
    <w:p w:rsidR="002A5E48" w:rsidRPr="00CD361D" w:rsidRDefault="002A5E48"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 xml:space="preserve">Tous les </w:t>
      </w:r>
      <w:r w:rsidRPr="00CD361D">
        <w:rPr>
          <w:rFonts w:ascii="StoneSansSemITCTTSemiIta" w:hAnsi="StoneSansSemITCTTSemiIta" w:cs="StoneSansSemITCTTSemiIta"/>
          <w:i/>
          <w:iCs/>
          <w:color w:val="00B050"/>
          <w:sz w:val="24"/>
          <w:szCs w:val="24"/>
        </w:rPr>
        <w:t>atomes</w:t>
      </w:r>
      <w:r w:rsidRPr="00CD361D">
        <w:rPr>
          <w:rFonts w:ascii="StoneSansSemITCTTSemiIta" w:hAnsi="StoneSansSemITCTTSemiIta" w:cs="StoneSansSemITCTTSemiIta"/>
          <w:i/>
          <w:iCs/>
          <w:color w:val="552B20"/>
          <w:sz w:val="24"/>
          <w:szCs w:val="24"/>
        </w:rPr>
        <w:t xml:space="preserve"> portent un nom patronymique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qui indique à quelle famille ils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appartiennent.</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Ceux qui portent le même nom ont un</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aspect et des habitudes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semblables. On dénombre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dans la nature environ 90 familles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w:t>
      </w:r>
      <w:r w:rsidRPr="00CD361D">
        <w:rPr>
          <w:rFonts w:ascii="StoneSansSemITCTTSemiIta" w:hAnsi="StoneSansSemITCTTSemiIta" w:cs="StoneSansSemITCTTSemiIta"/>
          <w:i/>
          <w:iCs/>
          <w:color w:val="00B050"/>
          <w:sz w:val="24"/>
          <w:szCs w:val="24"/>
        </w:rPr>
        <w:t>atomes</w:t>
      </w:r>
      <w:r w:rsidRPr="00CD361D">
        <w:rPr>
          <w:rFonts w:ascii="StoneSansSemITCTTSemiIta" w:hAnsi="StoneSansSemITCTTSemiIta" w:cs="StoneSansSemITCTTSemiIta"/>
          <w:i/>
          <w:iCs/>
          <w:color w:val="552B20"/>
          <w:sz w:val="24"/>
          <w:szCs w:val="24"/>
        </w:rPr>
        <w:t>. Les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noms qu'ils portent ont des origines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très diverses. On trouve, par exemple</w:t>
      </w:r>
      <w:r w:rsidR="00CD361D"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w:t>
      </w:r>
      <w:r w:rsidR="00CD361D"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des noms régionaux</w:t>
      </w:r>
      <w:r w:rsidRPr="00CD361D">
        <w:rPr>
          <w:rFonts w:ascii="StoneSansSemITCTTSemiIta" w:hAnsi="StoneSansSemITCTTSemiIta" w:cs="StoneSansSemITCTTSemiIta"/>
          <w:i/>
          <w:iCs/>
          <w:color w:val="552B20"/>
          <w:sz w:val="24"/>
          <w:szCs w:val="24"/>
        </w:rPr>
        <w:t>,</w:t>
      </w:r>
      <w:r w:rsidRPr="00CD361D">
        <w:rPr>
          <w:rFonts w:ascii="StoneSansSemITCTTSemiIta" w:hAnsi="StoneSansSemITCTTSemiIta" w:cs="StoneSansSemITCTTSemiIta"/>
          <w:i/>
          <w:iCs/>
          <w:color w:val="552B20"/>
          <w:sz w:val="24"/>
          <w:szCs w:val="24"/>
        </w:rPr>
        <w:t xml:space="preserve"> des noms tirés de la mythologie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des noms de matériaux</w:t>
      </w:r>
      <w:r w:rsidR="00CD361D" w:rsidRPr="00CD361D">
        <w:rPr>
          <w:rFonts w:ascii="StoneSansSemITCTTSemiIta" w:hAnsi="StoneSansSemITCTTSemiIta" w:cs="StoneSansSemITCTTSemiIta"/>
          <w:i/>
          <w:iCs/>
          <w:color w:val="552B20"/>
          <w:sz w:val="24"/>
          <w:szCs w:val="24"/>
        </w:rPr>
        <w:t>,</w:t>
      </w:r>
      <w:r w:rsidRPr="00CD361D">
        <w:rPr>
          <w:rFonts w:ascii="StoneSansSemITCTTSemiIta" w:hAnsi="StoneSansSemITCTTSemiIta" w:cs="StoneSansSemITCTTSemiIta"/>
          <w:i/>
          <w:iCs/>
          <w:color w:val="552B20"/>
          <w:sz w:val="24"/>
          <w:szCs w:val="24"/>
        </w:rPr>
        <w:t xml:space="preserve"> des noms de savants</w:t>
      </w:r>
      <w:r w:rsidR="00CD361D"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des noms indiquant un caractère physique :</w:t>
      </w:r>
    </w:p>
    <w:p w:rsidR="002A5E48" w:rsidRPr="00CD361D" w:rsidRDefault="002A5E48"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Phosphore : !! qui porte la lumière</w:t>
      </w:r>
      <w:r w:rsidR="00CD361D" w:rsidRPr="00CD361D">
        <w:rPr>
          <w:rFonts w:ascii="StoneSansSemITCTTSemiIta" w:hAnsi="StoneSansSemITCTTSemiIta" w:cs="StoneSansSemITCTTSemiIta"/>
          <w:i/>
          <w:iCs/>
          <w:color w:val="552B20"/>
          <w:sz w:val="24"/>
          <w:szCs w:val="24"/>
        </w:rPr>
        <w:t xml:space="preserve"> - </w:t>
      </w:r>
      <w:r w:rsidRPr="00CD361D">
        <w:rPr>
          <w:rFonts w:ascii="StoneSansSemITCTTSemiIta" w:hAnsi="StoneSansSemITCTTSemiIta" w:cs="StoneSansSemITCTTSemiIta"/>
          <w:i/>
          <w:iCs/>
          <w:color w:val="552B20"/>
          <w:sz w:val="24"/>
          <w:szCs w:val="24"/>
        </w:rPr>
        <w:t>Fluor : ! ! qui fond facilement</w:t>
      </w:r>
      <w:r w:rsidR="00CD361D" w:rsidRPr="00CD361D">
        <w:rPr>
          <w:rFonts w:ascii="StoneSansSemITCTTSemiIta" w:hAnsi="StoneSansSemITCTTSemiIta" w:cs="StoneSansSemITCTTSemiIta"/>
          <w:i/>
          <w:iCs/>
          <w:color w:val="552B20"/>
          <w:sz w:val="24"/>
          <w:szCs w:val="24"/>
        </w:rPr>
        <w:t xml:space="preserve"> - </w:t>
      </w:r>
      <w:r w:rsidRPr="00CD361D">
        <w:rPr>
          <w:rFonts w:ascii="StoneSansSemITCTTSemiIta" w:hAnsi="StoneSansSemITCTTSemiIta" w:cs="StoneSansSemITCTTSemiIta"/>
          <w:i/>
          <w:iCs/>
          <w:color w:val="552B20"/>
          <w:sz w:val="24"/>
          <w:szCs w:val="24"/>
        </w:rPr>
        <w:t>Iode : ! ! violet</w:t>
      </w:r>
    </w:p>
    <w:p w:rsidR="002A5E48" w:rsidRPr="00CD361D" w:rsidRDefault="002A5E48"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Brome : ! ! à odeur fétide</w:t>
      </w:r>
      <w:r w:rsidR="00CD361D" w:rsidRPr="00CD361D">
        <w:rPr>
          <w:rFonts w:ascii="StoneSansSemITCTTSemiIta" w:hAnsi="StoneSansSemITCTTSemiIta" w:cs="StoneSansSemITCTTSemiIta"/>
          <w:i/>
          <w:iCs/>
          <w:color w:val="552B20"/>
          <w:sz w:val="24"/>
          <w:szCs w:val="24"/>
        </w:rPr>
        <w:t xml:space="preserve"> - </w:t>
      </w:r>
      <w:r w:rsidRPr="00CD361D">
        <w:rPr>
          <w:rFonts w:ascii="StoneSansSemITCTTSemiIta" w:hAnsi="StoneSansSemITCTTSemiIta" w:cs="StoneSansSemITCTTSemiIta"/>
          <w:i/>
          <w:iCs/>
          <w:color w:val="552B20"/>
          <w:sz w:val="24"/>
          <w:szCs w:val="24"/>
        </w:rPr>
        <w:t>Dysprosium : ! difficile à trouver</w:t>
      </w:r>
      <w:r w:rsidR="00CD361D" w:rsidRPr="00CD361D">
        <w:rPr>
          <w:rFonts w:ascii="StoneSansSemITCTTSemiIta" w:hAnsi="StoneSansSemITCTTSemiIta" w:cs="StoneSansSemITCTTSemiIta"/>
          <w:i/>
          <w:iCs/>
          <w:color w:val="552B20"/>
          <w:sz w:val="24"/>
          <w:szCs w:val="24"/>
        </w:rPr>
        <w:t>…</w:t>
      </w:r>
    </w:p>
    <w:p w:rsidR="00CD361D" w:rsidRPr="00CD361D" w:rsidRDefault="00CD361D"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p>
    <w:p w:rsidR="00CD361D" w:rsidRPr="00CD361D" w:rsidRDefault="00CD361D"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Au lieu des noms entiers, les chimistes (et les cruciverbistes)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préfèrent utiliser</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des sigles plus courts, formés d'une ou</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deux lettres et connus sous le nom de symboles chimiques.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 xml:space="preserve">Dans notre monde imaginaire, les </w:t>
      </w:r>
      <w:r w:rsidRPr="00CD361D">
        <w:rPr>
          <w:rFonts w:ascii="StoneSansSemITCTTSemiIta" w:hAnsi="StoneSansSemITCTTSemiIta" w:cs="StoneSansSemITCTTSemiIta"/>
          <w:i/>
          <w:iCs/>
          <w:color w:val="00B050"/>
          <w:sz w:val="24"/>
          <w:szCs w:val="24"/>
        </w:rPr>
        <w:t>atomes</w:t>
      </w:r>
      <w:r w:rsidRPr="00CD361D">
        <w:rPr>
          <w:rFonts w:ascii="StoneSansSemITCTTSemiIta" w:hAnsi="StoneSansSemITCTTSemiIta" w:cs="StoneSansSemITCTTSemiIta"/>
          <w:i/>
          <w:iCs/>
          <w:color w:val="552B20"/>
          <w:sz w:val="24"/>
          <w:szCs w:val="24"/>
        </w:rPr>
        <w:t xml:space="preserve"> portent ce symbole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inscrit sur leur chapeau.</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Habituellement ce sont les deux premières lettres du nom</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ou parfois la première seulement qui constituent le symbole</w:t>
      </w:r>
    </w:p>
    <w:p w:rsidR="00CD361D" w:rsidRPr="00CD361D" w:rsidRDefault="00CD361D" w:rsidP="00CD361D">
      <w:pPr>
        <w:autoSpaceDE w:val="0"/>
        <w:autoSpaceDN w:val="0"/>
        <w:adjustRightInd w:val="0"/>
        <w:spacing w:after="0" w:line="240" w:lineRule="auto"/>
        <w:rPr>
          <w:rFonts w:ascii="StoneSansSemITCTTSemiIta" w:hAnsi="StoneSansSemITCTTSemiIta" w:cs="StoneSansSemITCTTSemiIta"/>
          <w:i/>
          <w:iCs/>
          <w:color w:val="552B20"/>
          <w:sz w:val="24"/>
          <w:szCs w:val="24"/>
        </w:rPr>
      </w:pPr>
      <w:proofErr w:type="gramStart"/>
      <w:r w:rsidRPr="00CD361D">
        <w:rPr>
          <w:rFonts w:ascii="StoneSansSemITCTTSemiIta" w:hAnsi="StoneSansSemITCTTSemiIta" w:cs="StoneSansSemITCTTSemiIta"/>
          <w:i/>
          <w:iCs/>
          <w:color w:val="552B20"/>
          <w:sz w:val="24"/>
          <w:szCs w:val="24"/>
        </w:rPr>
        <w:t>chimique</w:t>
      </w:r>
      <w:proofErr w:type="gramEnd"/>
      <w:r w:rsidRPr="00CD361D">
        <w:rPr>
          <w:rFonts w:ascii="StoneSansSemITCTTSemiIta" w:hAnsi="StoneSansSemITCTTSemiIta" w:cs="StoneSansSemITCTTSemiIta"/>
          <w:i/>
          <w:iCs/>
          <w:color w:val="552B20"/>
          <w:sz w:val="24"/>
          <w:szCs w:val="24"/>
        </w:rPr>
        <w:t>.</w:t>
      </w:r>
      <w:r w:rsidRPr="00CD361D">
        <w:rPr>
          <w:rFonts w:ascii="StoneSansSemITCTTSemiIta" w:hAnsi="StoneSansSemITCTTSemiIta" w:cs="StoneSansSemITCTTSemiIta"/>
          <w:i/>
          <w:iCs/>
          <w:color w:val="552B20"/>
          <w:sz w:val="24"/>
          <w:szCs w:val="24"/>
        </w:rPr>
        <w:t xml:space="preserve"> </w:t>
      </w:r>
    </w:p>
    <w:p w:rsidR="00CD361D" w:rsidRPr="00CD361D" w:rsidRDefault="00CD361D"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L'usage veut que la première lettre soit une majuscule, la seconde une minuscule.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Dans quelques cas le symbole est d'origine étrangère et n'a pas de ressemblance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directe avec le nom de l'</w:t>
      </w:r>
      <w:r w:rsidRPr="00CD361D">
        <w:rPr>
          <w:rFonts w:ascii="StoneSansSemITCTTSemiIta" w:hAnsi="StoneSansSemITCTTSemiIta" w:cs="StoneSansSemITCTTSemiIta"/>
          <w:i/>
          <w:iCs/>
          <w:color w:val="FF0000"/>
          <w:sz w:val="24"/>
          <w:szCs w:val="24"/>
        </w:rPr>
        <w:t>atome</w:t>
      </w:r>
      <w:r w:rsidRPr="00CD361D">
        <w:rPr>
          <w:rFonts w:ascii="StoneSansSemITCTTSemiIta" w:hAnsi="StoneSansSemITCTTSemiIta" w:cs="StoneSansSemITCTTSemiIta"/>
          <w:i/>
          <w:iCs/>
          <w:color w:val="552B20"/>
          <w:sz w:val="24"/>
          <w:szCs w:val="24"/>
        </w:rPr>
        <w:t>.</w:t>
      </w:r>
    </w:p>
    <w:p w:rsidR="002A5E48" w:rsidRPr="00CD361D" w:rsidRDefault="00CD361D"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lastRenderedPageBreak/>
        <w:t xml:space="preserve">Dans le monde des </w:t>
      </w:r>
      <w:r w:rsidRPr="00CD361D">
        <w:rPr>
          <w:rFonts w:ascii="StoneSansSemITCTTSemiIta" w:hAnsi="StoneSansSemITCTTSemiIta" w:cs="StoneSansSemITCTTSemiIta"/>
          <w:i/>
          <w:iCs/>
          <w:color w:val="00B050"/>
          <w:sz w:val="24"/>
          <w:szCs w:val="24"/>
        </w:rPr>
        <w:t>atomes</w:t>
      </w:r>
      <w:r w:rsidRPr="00CD361D">
        <w:rPr>
          <w:rFonts w:ascii="StoneSansSemITCTTSemiIta" w:hAnsi="StoneSansSemITCTTSemiIta" w:cs="StoneSansSemITCTTSemiIta"/>
          <w:i/>
          <w:iCs/>
          <w:color w:val="552B20"/>
          <w:sz w:val="24"/>
          <w:szCs w:val="24"/>
        </w:rPr>
        <w:t>, l'organisation est paramilitaire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 en plus de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son nom, chaque individu porte un matricule ou numéro d'ordre compris entre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1 et 92 qui indique à quelle famille il appartient1. Dans leur langage, les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chimistes parlent de numéro atomique.</w:t>
      </w:r>
    </w:p>
    <w:p w:rsidR="00CD361D" w:rsidRPr="00CD361D" w:rsidRDefault="00CD361D"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p>
    <w:p w:rsidR="00CD361D" w:rsidRPr="00CD361D" w:rsidRDefault="00CD361D" w:rsidP="00CD361D">
      <w:pPr>
        <w:autoSpaceDE w:val="0"/>
        <w:autoSpaceDN w:val="0"/>
        <w:adjustRightInd w:val="0"/>
        <w:spacing w:after="0" w:line="240" w:lineRule="auto"/>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 xml:space="preserve">Ceux qui portaient les numéros 43 et 61, Messieurs </w:t>
      </w:r>
      <w:proofErr w:type="spellStart"/>
      <w:r w:rsidRPr="00CD361D">
        <w:rPr>
          <w:rFonts w:ascii="StoneSansSemITCTTSemiIta" w:hAnsi="StoneSansSemITCTTSemiIta" w:cs="StoneSansSemITCTTSemiIta"/>
          <w:i/>
          <w:iCs/>
          <w:color w:val="552B20"/>
          <w:sz w:val="24"/>
          <w:szCs w:val="24"/>
        </w:rPr>
        <w:t>Technetium</w:t>
      </w:r>
      <w:proofErr w:type="spellEnd"/>
      <w:r w:rsidRPr="00CD361D">
        <w:rPr>
          <w:rFonts w:ascii="StoneSansSemITCTTSemiIta" w:hAnsi="StoneSansSemITCTTSemiIta" w:cs="StoneSansSemITCTTSemiIta"/>
          <w:i/>
          <w:iCs/>
          <w:color w:val="552B20"/>
          <w:sz w:val="24"/>
          <w:szCs w:val="24"/>
        </w:rPr>
        <w:t xml:space="preserve"> et </w:t>
      </w:r>
      <w:proofErr w:type="spellStart"/>
      <w:r w:rsidRPr="00CD361D">
        <w:rPr>
          <w:rFonts w:ascii="StoneSansSemITCTTSemiIta" w:hAnsi="StoneSansSemITCTTSemiIta" w:cs="StoneSansSemITCTTSemiIta"/>
          <w:i/>
          <w:iCs/>
          <w:color w:val="552B20"/>
          <w:sz w:val="24"/>
          <w:szCs w:val="24"/>
        </w:rPr>
        <w:t>Prométheum</w:t>
      </w:r>
      <w:proofErr w:type="spellEnd"/>
      <w:r w:rsidRPr="00CD361D">
        <w:rPr>
          <w:rFonts w:ascii="StoneSansSemITCTTSemiIta" w:hAnsi="StoneSansSemITCTTSemiIta" w:cs="StoneSansSemITCTTSemiIta"/>
          <w:i/>
          <w:iCs/>
          <w:color w:val="552B20"/>
          <w:sz w:val="24"/>
          <w:szCs w:val="24"/>
        </w:rPr>
        <w:t>, ont disparu du</w:t>
      </w:r>
    </w:p>
    <w:p w:rsidR="00CD361D" w:rsidRPr="00CD361D" w:rsidRDefault="00CD361D" w:rsidP="00CD361D">
      <w:pPr>
        <w:autoSpaceDE w:val="0"/>
        <w:autoSpaceDN w:val="0"/>
        <w:adjustRightInd w:val="0"/>
        <w:spacing w:after="0" w:line="240" w:lineRule="auto"/>
        <w:rPr>
          <w:rFonts w:ascii="StoneSansSemITCTTSemiIta" w:hAnsi="StoneSansSemITCTTSemiIta" w:cs="StoneSansSemITCTTSemiIta"/>
          <w:i/>
          <w:iCs/>
          <w:color w:val="552B20"/>
          <w:sz w:val="24"/>
          <w:szCs w:val="24"/>
        </w:rPr>
      </w:pPr>
      <w:proofErr w:type="gramStart"/>
      <w:r w:rsidRPr="00CD361D">
        <w:rPr>
          <w:rFonts w:ascii="StoneSansSemITCTTSemiIta" w:hAnsi="StoneSansSemITCTTSemiIta" w:cs="StoneSansSemITCTTSemiIta"/>
          <w:i/>
          <w:iCs/>
          <w:color w:val="552B20"/>
          <w:sz w:val="24"/>
          <w:szCs w:val="24"/>
        </w:rPr>
        <w:t>monde</w:t>
      </w:r>
      <w:proofErr w:type="gramEnd"/>
      <w:r w:rsidRPr="00CD361D">
        <w:rPr>
          <w:rFonts w:ascii="StoneSansSemITCTTSemiIta" w:hAnsi="StoneSansSemITCTTSemiIta" w:cs="StoneSansSemITCTTSemiIta"/>
          <w:i/>
          <w:iCs/>
          <w:color w:val="552B20"/>
          <w:sz w:val="24"/>
          <w:szCs w:val="24"/>
        </w:rPr>
        <w:t xml:space="preserve"> des </w:t>
      </w:r>
      <w:r w:rsidRPr="00CD361D">
        <w:rPr>
          <w:rFonts w:ascii="StoneSansSemITCTTSemiIta" w:hAnsi="StoneSansSemITCTTSemiIta" w:cs="StoneSansSemITCTTSemiIta"/>
          <w:i/>
          <w:iCs/>
          <w:color w:val="00B050"/>
          <w:sz w:val="24"/>
          <w:szCs w:val="24"/>
        </w:rPr>
        <w:t>atomes</w:t>
      </w:r>
      <w:r w:rsidRPr="00CD361D">
        <w:rPr>
          <w:rFonts w:ascii="StoneSansSemITCTTSemiIta" w:hAnsi="StoneSansSemITCTTSemiIta" w:cs="StoneSansSemITCTTSemiIta"/>
          <w:i/>
          <w:iCs/>
          <w:color w:val="552B20"/>
          <w:sz w:val="24"/>
          <w:szCs w:val="24"/>
        </w:rPr>
        <w:t xml:space="preserve"> naturels, victimes d'une maladie congénitale : la décroissance radioactive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galopante. Aujourd'hui les terriens ont réussi à les recréer artificiellement, mais leur espérance</w:t>
      </w:r>
    </w:p>
    <w:p w:rsidR="00CD361D" w:rsidRPr="00CD361D" w:rsidRDefault="00CD361D"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proofErr w:type="gramStart"/>
      <w:r w:rsidRPr="00CD361D">
        <w:rPr>
          <w:rFonts w:ascii="StoneSansSemITCTTSemiIta" w:hAnsi="StoneSansSemITCTTSemiIta" w:cs="StoneSansSemITCTTSemiIta"/>
          <w:i/>
          <w:iCs/>
          <w:color w:val="552B20"/>
          <w:sz w:val="24"/>
          <w:szCs w:val="24"/>
        </w:rPr>
        <w:t>de</w:t>
      </w:r>
      <w:proofErr w:type="gramEnd"/>
      <w:r w:rsidRPr="00CD361D">
        <w:rPr>
          <w:rFonts w:ascii="StoneSansSemITCTTSemiIta" w:hAnsi="StoneSansSemITCTTSemiIta" w:cs="StoneSansSemITCTTSemiIta"/>
          <w:i/>
          <w:iCs/>
          <w:color w:val="552B20"/>
          <w:sz w:val="24"/>
          <w:szCs w:val="24"/>
        </w:rPr>
        <w:t xml:space="preserve"> vie reste très précaire!</w:t>
      </w:r>
    </w:p>
    <w:p w:rsidR="00CD361D" w:rsidRPr="00CD361D" w:rsidRDefault="00CD361D"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p>
    <w:p w:rsidR="00CD361D" w:rsidRPr="00CD361D" w:rsidRDefault="00CD361D"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L'administrateur qui leur a</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attribué ces numéros est un</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terrien du nom de Mendeleïev1.</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Le principe de cette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numérotation est simple :</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l'</w:t>
      </w:r>
      <w:r w:rsidRPr="00CD361D">
        <w:rPr>
          <w:rFonts w:ascii="StoneSansSemITCTTSemiIta" w:hAnsi="StoneSansSemITCTTSemiIta" w:cs="StoneSansSemITCTTSemiIta"/>
          <w:i/>
          <w:iCs/>
          <w:color w:val="FF0000"/>
          <w:sz w:val="24"/>
          <w:szCs w:val="24"/>
        </w:rPr>
        <w:t>atome</w:t>
      </w:r>
      <w:r w:rsidRPr="00CD361D">
        <w:rPr>
          <w:rFonts w:ascii="StoneSansSemITCTTSemiIta" w:hAnsi="StoneSansSemITCTTSemiIta" w:cs="StoneSansSemITCTTSemiIta"/>
          <w:i/>
          <w:iCs/>
          <w:color w:val="552B20"/>
          <w:sz w:val="24"/>
          <w:szCs w:val="24"/>
        </w:rPr>
        <w:t xml:space="preserve"> le plus léger, Monsieur</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Hydrogène, porte le numéro</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1, le plus lourd, Monsieur</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Uranium, le numéro 92.</w:t>
      </w:r>
    </w:p>
    <w:p w:rsidR="00CD361D" w:rsidRPr="00CD361D" w:rsidRDefault="00CD361D" w:rsidP="00CD361D">
      <w:pPr>
        <w:autoSpaceDE w:val="0"/>
        <w:autoSpaceDN w:val="0"/>
        <w:adjustRightInd w:val="0"/>
        <w:spacing w:after="0" w:line="240" w:lineRule="auto"/>
        <w:jc w:val="both"/>
        <w:rPr>
          <w:rFonts w:ascii="StoneSansSemITCTTSemiIta" w:hAnsi="StoneSansSemITCTTSemiIta" w:cs="StoneSansSemITCTTSemiIta"/>
          <w:i/>
          <w:iCs/>
          <w:color w:val="552B20"/>
          <w:sz w:val="24"/>
          <w:szCs w:val="24"/>
        </w:rPr>
      </w:pPr>
      <w:r w:rsidRPr="00CD361D">
        <w:rPr>
          <w:rFonts w:ascii="StoneSansSemITCTTSemiIta" w:hAnsi="StoneSansSemITCTTSemiIta" w:cs="StoneSansSemITCTTSemiIta"/>
          <w:i/>
          <w:iCs/>
          <w:color w:val="552B20"/>
          <w:sz w:val="24"/>
          <w:szCs w:val="24"/>
        </w:rPr>
        <w:t>A quelques exceptions près,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l'ordre de la numérotation</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correspond à l'ordre croissant</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de leur poids.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Il faut noter toutefois que le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génie génétique des Terriens sait aujourd'hui créer</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des familles d'</w:t>
      </w:r>
      <w:r w:rsidRPr="00CD361D">
        <w:rPr>
          <w:rFonts w:ascii="StoneSansSemITCTTSemiIta" w:hAnsi="StoneSansSemITCTTSemiIta" w:cs="StoneSansSemITCTTSemiIta"/>
          <w:i/>
          <w:iCs/>
          <w:color w:val="00B050"/>
          <w:sz w:val="24"/>
          <w:szCs w:val="24"/>
        </w:rPr>
        <w:t>atomes</w:t>
      </w:r>
      <w:r w:rsidRPr="00CD361D">
        <w:rPr>
          <w:rFonts w:ascii="StoneSansSemITCTTSemiIta" w:hAnsi="StoneSansSemITCTTSemiIta" w:cs="StoneSansSemITCTTSemiIta"/>
          <w:i/>
          <w:iCs/>
          <w:color w:val="552B20"/>
          <w:sz w:val="24"/>
          <w:szCs w:val="24"/>
        </w:rPr>
        <w:t xml:space="preserve"> inconnues jusqu'ici. Ainsi quelques</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 xml:space="preserve">nouveaux arrivés sont venus s'ajouter au monde des </w:t>
      </w:r>
      <w:r w:rsidRPr="00CD361D">
        <w:rPr>
          <w:rFonts w:ascii="StoneSansSemITCTTSemiIta" w:hAnsi="StoneSansSemITCTTSemiIta" w:cs="StoneSansSemITCTTSemiIta"/>
          <w:i/>
          <w:iCs/>
          <w:color w:val="00B050"/>
          <w:sz w:val="24"/>
          <w:szCs w:val="24"/>
        </w:rPr>
        <w:t>atomes</w:t>
      </w:r>
      <w:r w:rsidRPr="00CD361D">
        <w:rPr>
          <w:rFonts w:ascii="StoneSansSemITCTTSemiIta" w:hAnsi="StoneSansSemITCTTSemiIta" w:cs="StoneSansSemITCTTSemiIta"/>
          <w:i/>
          <w:iCs/>
          <w:color w:val="552B20"/>
          <w:sz w:val="24"/>
          <w:szCs w:val="24"/>
        </w:rPr>
        <w:t xml:space="preserve"> naturels. Le</w:t>
      </w:r>
      <w:r w:rsidRPr="00CD361D">
        <w:rPr>
          <w:rFonts w:ascii="StoneSansSemITCTTSemiIta" w:hAnsi="StoneSansSemITCTTSemiIta" w:cs="StoneSansSemITCTTSemiIta"/>
          <w:i/>
          <w:iCs/>
          <w:color w:val="552B20"/>
          <w:sz w:val="24"/>
          <w:szCs w:val="24"/>
        </w:rPr>
        <w:t xml:space="preserve"> </w:t>
      </w:r>
      <w:r w:rsidRPr="00CD361D">
        <w:rPr>
          <w:rFonts w:ascii="StoneSansSemITCTTSemiIta" w:hAnsi="StoneSansSemITCTTSemiIta" w:cs="StoneSansSemITCTTSemiIta"/>
          <w:i/>
          <w:iCs/>
          <w:color w:val="552B20"/>
          <w:sz w:val="24"/>
          <w:szCs w:val="24"/>
        </w:rPr>
        <w:t>plus connu d'entre eux est le Plutonium auquel on a attribué le numéro 94.</w:t>
      </w:r>
    </w:p>
    <w:sectPr w:rsidR="00CD361D" w:rsidRPr="00CD3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SemITCTTSemiIt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906AD"/>
    <w:multiLevelType w:val="multilevel"/>
    <w:tmpl w:val="A74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9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C9"/>
    <w:rsid w:val="00181B9E"/>
    <w:rsid w:val="002A5E48"/>
    <w:rsid w:val="00C224C9"/>
    <w:rsid w:val="00CD361D"/>
    <w:rsid w:val="00EE47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6331"/>
  <w15:chartTrackingRefBased/>
  <w15:docId w15:val="{E17AE142-62B1-491B-86CA-574A1551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C224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224C9"/>
    <w:rPr>
      <w:i/>
      <w:iCs/>
    </w:rPr>
  </w:style>
  <w:style w:type="character" w:styleId="Lienhypertexte">
    <w:name w:val="Hyperlink"/>
    <w:basedOn w:val="Policepardfaut"/>
    <w:uiPriority w:val="99"/>
    <w:semiHidden/>
    <w:unhideWhenUsed/>
    <w:rsid w:val="00C224C9"/>
    <w:rPr>
      <w:color w:val="0000FF"/>
      <w:u w:val="single"/>
    </w:rPr>
  </w:style>
  <w:style w:type="character" w:customStyle="1" w:styleId="num">
    <w:name w:val="num"/>
    <w:basedOn w:val="Policepardfaut"/>
    <w:rsid w:val="00C224C9"/>
  </w:style>
  <w:style w:type="character" w:customStyle="1" w:styleId="paranumber">
    <w:name w:val="paranumber"/>
    <w:basedOn w:val="Policepardfaut"/>
    <w:rsid w:val="00C2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87680">
      <w:bodyDiv w:val="1"/>
      <w:marLeft w:val="0"/>
      <w:marRight w:val="0"/>
      <w:marTop w:val="0"/>
      <w:marBottom w:val="0"/>
      <w:divBdr>
        <w:top w:val="none" w:sz="0" w:space="0" w:color="auto"/>
        <w:left w:val="none" w:sz="0" w:space="0" w:color="auto"/>
        <w:bottom w:val="none" w:sz="0" w:space="0" w:color="auto"/>
        <w:right w:val="none" w:sz="0" w:space="0" w:color="auto"/>
      </w:divBdr>
      <w:divsChild>
        <w:div w:id="1140223891">
          <w:marLeft w:val="0"/>
          <w:marRight w:val="0"/>
          <w:marTop w:val="0"/>
          <w:marBottom w:val="0"/>
          <w:divBdr>
            <w:top w:val="none" w:sz="0" w:space="0" w:color="auto"/>
            <w:left w:val="none" w:sz="0" w:space="0" w:color="auto"/>
            <w:bottom w:val="none" w:sz="0" w:space="0" w:color="auto"/>
            <w:right w:val="none" w:sz="0" w:space="0" w:color="auto"/>
          </w:divBdr>
        </w:div>
        <w:div w:id="1878004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semen/10287" TargetMode="External"/><Relationship Id="rId13" Type="http://schemas.openxmlformats.org/officeDocument/2006/relationships/hyperlink" Target="https://journals.openedition.org/semen/10287" TargetMode="External"/><Relationship Id="rId3" Type="http://schemas.openxmlformats.org/officeDocument/2006/relationships/settings" Target="settings.xml"/><Relationship Id="rId7" Type="http://schemas.openxmlformats.org/officeDocument/2006/relationships/hyperlink" Target="https://journals.openedition.org/semen/10287" TargetMode="External"/><Relationship Id="rId12" Type="http://schemas.openxmlformats.org/officeDocument/2006/relationships/hyperlink" Target="https://journals.openedition.org/semen/10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openedition.org/semen/10287" TargetMode="External"/><Relationship Id="rId11" Type="http://schemas.openxmlformats.org/officeDocument/2006/relationships/hyperlink" Target="https://journals.openedition.org/semen/10287" TargetMode="External"/><Relationship Id="rId5" Type="http://schemas.openxmlformats.org/officeDocument/2006/relationships/hyperlink" Target="https://journals.openedition.org/semen/10287" TargetMode="External"/><Relationship Id="rId15" Type="http://schemas.openxmlformats.org/officeDocument/2006/relationships/theme" Target="theme/theme1.xml"/><Relationship Id="rId10" Type="http://schemas.openxmlformats.org/officeDocument/2006/relationships/hyperlink" Target="https://journals.openedition.org/semen/10287" TargetMode="External"/><Relationship Id="rId4" Type="http://schemas.openxmlformats.org/officeDocument/2006/relationships/webSettings" Target="webSettings.xml"/><Relationship Id="rId9" Type="http://schemas.openxmlformats.org/officeDocument/2006/relationships/hyperlink" Target="https://journals.openedition.org/semen/10287"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1215</Words>
  <Characters>6683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MILLOUR</dc:creator>
  <cp:keywords/>
  <dc:description/>
  <cp:lastModifiedBy>ERIC MILLOUR</cp:lastModifiedBy>
  <cp:revision>1</cp:revision>
  <dcterms:created xsi:type="dcterms:W3CDTF">2023-06-11T15:39:00Z</dcterms:created>
  <dcterms:modified xsi:type="dcterms:W3CDTF">2023-06-11T16:39:00Z</dcterms:modified>
</cp:coreProperties>
</file>