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F007A9">
        <w:trPr>
          <w:gridAfter w:val="1"/>
          <w:wAfter w:w="12" w:type="dxa"/>
          <w:trHeight w:hRule="exact" w:val="1046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0B8DD156" w:rsidR="006549C3" w:rsidRDefault="00F67B8C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sz w:val="36"/>
                <w:szCs w:val="36"/>
                <w:lang w:val="fr-FR"/>
              </w:rPr>
              <w:t>M</w:t>
            </w:r>
            <w:r w:rsidR="00E91904">
              <w:rPr>
                <w:sz w:val="36"/>
                <w:szCs w:val="36"/>
                <w:lang w:val="fr-FR"/>
              </w:rPr>
              <w:t>ettre</w:t>
            </w:r>
            <w:r>
              <w:rPr>
                <w:sz w:val="36"/>
                <w:szCs w:val="36"/>
                <w:lang w:val="fr-FR"/>
              </w:rPr>
              <w:t xml:space="preserve"> en œuvre la c</w:t>
            </w:r>
            <w:r w:rsidR="00625ACC">
              <w:rPr>
                <w:sz w:val="36"/>
                <w:szCs w:val="36"/>
                <w:lang w:val="fr-FR"/>
              </w:rPr>
              <w:t>onsolidation des acquis</w:t>
            </w:r>
          </w:p>
          <w:p w14:paraId="296A03F1" w14:textId="3A7519E3" w:rsidR="00FE4370" w:rsidRPr="00BF55C6" w:rsidRDefault="00F576FC" w:rsidP="00FE4370">
            <w:pPr>
              <w:autoSpaceDE w:val="0"/>
              <w:autoSpaceDN w:val="0"/>
              <w:adjustRightInd w:val="0"/>
              <w:ind w:right="-294"/>
              <w:rPr>
                <w:rFonts w:asciiTheme="majorHAnsi" w:hAnsiTheme="majorHAnsi" w:cs="MyriadPro-Regular"/>
                <w:i/>
                <w:sz w:val="20"/>
                <w:szCs w:val="20"/>
              </w:rPr>
            </w:pPr>
            <w:hyperlink r:id="rId8" w:history="1">
              <w:r w:rsidR="009C631A" w:rsidRPr="009C631A">
                <w:rPr>
                  <w:rStyle w:val="Lienhypertexte"/>
                  <w:rFonts w:asciiTheme="majorHAnsi" w:hAnsiTheme="majorHAnsi"/>
                  <w:sz w:val="14"/>
                </w:rPr>
                <w:t>Décret n°2009-148 du 10 février 2009</w:t>
              </w:r>
            </w:hyperlink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 xml:space="preserve"> relatif à l’organisation de la voie professionnelle</w:t>
            </w:r>
            <w:r w:rsidR="009C631A">
              <w:rPr>
                <w:rFonts w:asciiTheme="majorHAnsi" w:hAnsiTheme="majorHAnsi" w:cs="MyriadPro-Regular"/>
                <w:i/>
                <w:sz w:val="20"/>
                <w:szCs w:val="20"/>
              </w:rPr>
              <w:t xml:space="preserve">. </w:t>
            </w:r>
            <w:hyperlink r:id="rId9" w:history="1">
              <w:r w:rsidR="00FE4370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BO n°1 du 3 janvier 2019</w:t>
              </w:r>
            </w:hyperlink>
            <w:r w:rsidR="00FE4370" w:rsidRPr="00FE4370">
              <w:rPr>
                <w:rFonts w:asciiTheme="majorHAnsi" w:hAnsiTheme="majorHAnsi" w:cstheme="majorHAnsi"/>
                <w:sz w:val="14"/>
                <w:szCs w:val="14"/>
              </w:rPr>
              <w:t xml:space="preserve"> (CAP e</w:t>
            </w:r>
            <w:r w:rsidR="00FE4370">
              <w:rPr>
                <w:rFonts w:asciiTheme="majorHAnsi" w:hAnsiTheme="majorHAnsi" w:cstheme="majorHAnsi"/>
                <w:sz w:val="14"/>
                <w:szCs w:val="14"/>
              </w:rPr>
              <w:t>t Baccalauréat professionnel).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hyperlink r:id="rId10" w:history="1">
              <w:r w:rsidR="009C631A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BO </w:t>
              </w:r>
              <w:r w:rsid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n°12 </w:t>
              </w:r>
              <w:r w:rsidR="009C631A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du 21 mars 2019</w:t>
              </w:r>
            </w:hyperlink>
            <w:r w:rsidR="009C631A" w:rsidRPr="00BF55C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>(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Note de service du 13 mars 2019 Horaires CAP et Baccalauréat professionnel. </w:t>
            </w:r>
            <w:r w:rsidR="00FE4370" w:rsidRPr="00FE4370">
              <w:rPr>
                <w:rFonts w:asciiTheme="majorHAnsi" w:hAnsiTheme="majorHAnsi" w:cstheme="majorHAnsi"/>
                <w:sz w:val="14"/>
                <w:szCs w:val="14"/>
              </w:rPr>
              <w:t>Vade-mecum Consolidation des acquis et</w:t>
            </w:r>
            <w:r w:rsidR="00FE4370" w:rsidRPr="00BF55C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>Accompagnement Personnalisé sur</w:t>
            </w:r>
            <w:hyperlink r:id="rId11" w:history="1">
              <w:r w:rsidR="009C631A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 </w:t>
              </w:r>
              <w:r w:rsidR="00FE4370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Eduscol</w:t>
              </w:r>
              <w:r w:rsid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.</w:t>
              </w:r>
              <w:r w:rsidR="009C631A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 </w:t>
              </w:r>
            </w:hyperlink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</w:p>
          <w:p w14:paraId="1D47EE9E" w14:textId="73375594" w:rsidR="00FE4370" w:rsidRPr="00EF1A2D" w:rsidRDefault="00FE4370" w:rsidP="00EF1A2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F007A9">
        <w:trPr>
          <w:cantSplit/>
          <w:trHeight w:hRule="exact" w:val="433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F007A9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F007A9">
        <w:trPr>
          <w:trHeight w:val="7419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9A16E8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5E2EC7E5" w14:textId="57ADDC3C" w:rsidR="009C3FA3" w:rsidRPr="0029189E" w:rsidRDefault="009C3FA3" w:rsidP="009A16E8">
            <w:pPr>
              <w:pStyle w:val="TableParagraph"/>
              <w:ind w:left="34" w:right="141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>Dans le cadre de la transformation de la voie professionnelle, chaque élève bénéficie d’un temps d’accompagnement renforcé qui répond à ses besoins, à ses aspirations et à ses projets.</w:t>
            </w:r>
            <w:r w:rsidR="009A16E8" w:rsidRPr="0029189E">
              <w:rPr>
                <w:rFonts w:cs="Arial"/>
                <w:w w:val="95"/>
                <w:sz w:val="17"/>
                <w:szCs w:val="17"/>
              </w:rPr>
              <w:t xml:space="preserve"> </w:t>
            </w:r>
            <w:r w:rsidRPr="0029189E">
              <w:rPr>
                <w:rFonts w:cs="Arial"/>
                <w:w w:val="95"/>
                <w:sz w:val="17"/>
                <w:szCs w:val="17"/>
              </w:rPr>
              <w:t xml:space="preserve">La consolidation des acquis </w:t>
            </w:r>
            <w:r w:rsidR="00F67B8C" w:rsidRPr="0029189E">
              <w:rPr>
                <w:rFonts w:cs="Arial"/>
                <w:w w:val="95"/>
                <w:sz w:val="17"/>
                <w:szCs w:val="17"/>
              </w:rPr>
              <w:t>est un volet</w:t>
            </w:r>
            <w:r w:rsidRPr="0029189E">
              <w:rPr>
                <w:rFonts w:cs="Arial"/>
                <w:w w:val="95"/>
                <w:sz w:val="17"/>
                <w:szCs w:val="17"/>
              </w:rPr>
              <w:t xml:space="preserve">  du dispositif d’accompagnement</w:t>
            </w:r>
            <w:r w:rsidR="00EA4E21" w:rsidRPr="0029189E">
              <w:rPr>
                <w:rFonts w:cs="Arial"/>
                <w:w w:val="95"/>
                <w:sz w:val="17"/>
                <w:szCs w:val="17"/>
              </w:rPr>
              <w:t>.</w:t>
            </w:r>
            <w:r w:rsidR="009A16E8" w:rsidRPr="0029189E">
              <w:rPr>
                <w:rFonts w:asciiTheme="majorHAnsi" w:hAnsiTheme="majorHAnsi"/>
                <w:sz w:val="17"/>
                <w:szCs w:val="17"/>
                <w:vertAlign w:val="superscript"/>
              </w:rPr>
              <w:t>1</w:t>
            </w:r>
            <w:r w:rsidRPr="0029189E">
              <w:rPr>
                <w:rFonts w:cs="Arial"/>
                <w:w w:val="95"/>
                <w:sz w:val="17"/>
                <w:szCs w:val="17"/>
              </w:rPr>
              <w:t xml:space="preserve">  </w:t>
            </w:r>
          </w:p>
          <w:p w14:paraId="605D0081" w14:textId="77777777" w:rsidR="009C3FA3" w:rsidRPr="0029189E" w:rsidRDefault="009C3FA3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6F9CA98F" w14:textId="58BB8EFC" w:rsidR="009C3FA3" w:rsidRPr="0029189E" w:rsidRDefault="00F67B8C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>Ce module s’inscrit-il</w:t>
            </w:r>
            <w:r w:rsidR="009C3FA3" w:rsidRPr="0029189E">
              <w:rPr>
                <w:rFonts w:cs="Arial"/>
                <w:w w:val="95"/>
                <w:sz w:val="17"/>
                <w:szCs w:val="17"/>
              </w:rPr>
              <w:t xml:space="preserve"> dans un axe / des axes du projet d’établissement ?</w:t>
            </w:r>
          </w:p>
          <w:p w14:paraId="6821CB0F" w14:textId="77777777" w:rsidR="009C3FA3" w:rsidRPr="0029189E" w:rsidRDefault="009C3FA3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7377DEE1" w14:textId="138C2526" w:rsidR="009C3FA3" w:rsidRPr="0029189E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 xml:space="preserve">Le pilotage </w:t>
            </w:r>
            <w:r w:rsidR="009C3FA3" w:rsidRPr="0029189E">
              <w:rPr>
                <w:rFonts w:cs="Arial"/>
                <w:w w:val="95"/>
                <w:sz w:val="17"/>
                <w:szCs w:val="17"/>
              </w:rPr>
              <w:t>des actions est-il mis en place ?</w:t>
            </w:r>
          </w:p>
          <w:p w14:paraId="70171B12" w14:textId="77777777" w:rsidR="009A16E8" w:rsidRPr="0029189E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18920374" w14:textId="456BC469" w:rsidR="00F2651B" w:rsidRPr="0029189E" w:rsidRDefault="009C3FA3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>Des instances   comme   par exemple le Conseil pédagogique définissent-elles des objectifs et des propositions de mise en œuvre ?</w:t>
            </w:r>
          </w:p>
          <w:p w14:paraId="291CE9DF" w14:textId="77777777" w:rsidR="009A16E8" w:rsidRPr="0029189E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4B6DF42D" w14:textId="7CCE1009" w:rsidR="009A16E8" w:rsidRPr="0029189E" w:rsidRDefault="009A16E8" w:rsidP="009A16E8">
            <w:pPr>
              <w:pStyle w:val="TableParagraph"/>
              <w:tabs>
                <w:tab w:val="left" w:pos="431"/>
                <w:tab w:val="left" w:pos="301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 xml:space="preserve">Comment est organisée la communication autour de la question de </w:t>
            </w:r>
            <w:r w:rsidR="00F67B8C" w:rsidRPr="0029189E">
              <w:rPr>
                <w:rFonts w:cs="Arial"/>
                <w:w w:val="95"/>
                <w:sz w:val="17"/>
                <w:szCs w:val="17"/>
              </w:rPr>
              <w:t>la consolidation des acquis</w:t>
            </w:r>
            <w:r w:rsidRPr="0029189E">
              <w:rPr>
                <w:rFonts w:cs="Arial"/>
                <w:w w:val="95"/>
                <w:sz w:val="17"/>
                <w:szCs w:val="17"/>
              </w:rPr>
              <w:t xml:space="preserve"> ?</w:t>
            </w:r>
          </w:p>
          <w:p w14:paraId="543D3392" w14:textId="77777777" w:rsidR="009A16E8" w:rsidRPr="0029189E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7"/>
                <w:szCs w:val="17"/>
              </w:rPr>
            </w:pPr>
          </w:p>
          <w:p w14:paraId="4AF03DFB" w14:textId="77777777" w:rsidR="009A16E8" w:rsidRPr="0029189E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41"/>
              <w:rPr>
                <w:rFonts w:cs="Arial"/>
                <w:w w:val="95"/>
                <w:sz w:val="17"/>
                <w:szCs w:val="17"/>
              </w:rPr>
            </w:pPr>
            <w:r w:rsidRPr="0029189E">
              <w:rPr>
                <w:rFonts w:cs="Arial"/>
                <w:w w:val="95"/>
                <w:sz w:val="17"/>
                <w:szCs w:val="17"/>
              </w:rPr>
              <w:t>Un échéancier, des indicateurs cibles, des bilans d’étapes sont-ils prévus ?</w:t>
            </w:r>
          </w:p>
          <w:p w14:paraId="0279D23D" w14:textId="77777777" w:rsidR="009A16E8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spacing w:before="24" w:line="252" w:lineRule="auto"/>
              <w:ind w:right="141"/>
              <w:rPr>
                <w:rFonts w:cs="Arial"/>
                <w:w w:val="95"/>
                <w:sz w:val="16"/>
              </w:rPr>
            </w:pPr>
          </w:p>
          <w:p w14:paraId="70D7BA2F" w14:textId="5B4149C8" w:rsidR="00EA4E21" w:rsidRPr="009A16E8" w:rsidRDefault="00EA4E21" w:rsidP="00EA4E21">
            <w:pPr>
              <w:pStyle w:val="TableParagraph"/>
              <w:ind w:left="109"/>
              <w:rPr>
                <w:rFonts w:asciiTheme="majorHAnsi" w:hAnsiTheme="majorHAnsi"/>
                <w:b/>
                <w:sz w:val="14"/>
                <w:szCs w:val="18"/>
              </w:rPr>
            </w:pPr>
            <w:r w:rsidRPr="009A16E8">
              <w:rPr>
                <w:rFonts w:asciiTheme="majorHAnsi" w:hAnsiTheme="majorHAnsi"/>
                <w:b/>
                <w:sz w:val="14"/>
                <w:szCs w:val="18"/>
                <w:vertAlign w:val="superscript"/>
              </w:rPr>
              <w:t>1</w:t>
            </w:r>
            <w:r>
              <w:rPr>
                <w:rFonts w:asciiTheme="majorHAnsi" w:hAnsiTheme="majorHAnsi"/>
                <w:b/>
                <w:sz w:val="14"/>
                <w:szCs w:val="18"/>
                <w:vertAlign w:val="superscript"/>
              </w:rPr>
              <w:t xml:space="preserve"> </w:t>
            </w:r>
            <w:r w:rsidRPr="009A16E8">
              <w:rPr>
                <w:rFonts w:asciiTheme="majorHAnsi" w:hAnsiTheme="majorHAnsi"/>
                <w:b/>
                <w:sz w:val="14"/>
                <w:szCs w:val="18"/>
              </w:rPr>
              <w:t>Les trois volets du dispositif d’accompagnement</w:t>
            </w:r>
          </w:p>
          <w:p w14:paraId="1F0E8228" w14:textId="77777777" w:rsidR="00EA4E21" w:rsidRPr="009A16E8" w:rsidRDefault="00EA4E21" w:rsidP="00EA4E21">
            <w:pPr>
              <w:pStyle w:val="TableParagraph"/>
              <w:spacing w:line="252" w:lineRule="auto"/>
              <w:ind w:left="109" w:right="168"/>
              <w:rPr>
                <w:sz w:val="14"/>
                <w:szCs w:val="18"/>
              </w:rPr>
            </w:pPr>
            <w:r w:rsidRPr="009A16E8">
              <w:rPr>
                <w:w w:val="95"/>
                <w:sz w:val="14"/>
                <w:szCs w:val="18"/>
              </w:rPr>
              <w:t xml:space="preserve">Volumes </w:t>
            </w:r>
            <w:r w:rsidRPr="009A16E8">
              <w:rPr>
                <w:spacing w:val="-40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horaires </w:t>
            </w:r>
            <w:r w:rsidRPr="009A16E8">
              <w:rPr>
                <w:spacing w:val="-3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pour un cycle </w:t>
            </w:r>
            <w:r w:rsidRPr="009A16E8">
              <w:rPr>
                <w:spacing w:val="-3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et </w:t>
            </w:r>
            <w:r w:rsidRPr="009A16E8">
              <w:rPr>
                <w:sz w:val="14"/>
                <w:szCs w:val="18"/>
              </w:rPr>
              <w:t xml:space="preserve">par année </w:t>
            </w:r>
            <w:r w:rsidRPr="009A16E8">
              <w:rPr>
                <w:spacing w:val="-43"/>
                <w:sz w:val="14"/>
                <w:szCs w:val="18"/>
              </w:rPr>
              <w:t xml:space="preserve">   </w:t>
            </w:r>
            <w:r w:rsidRPr="009A16E8">
              <w:rPr>
                <w:sz w:val="14"/>
                <w:szCs w:val="18"/>
              </w:rPr>
              <w:t xml:space="preserve">comprenant </w:t>
            </w:r>
            <w:r w:rsidRPr="009A16E8">
              <w:rPr>
                <w:spacing w:val="-43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44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trois volets</w:t>
            </w:r>
            <w:r w:rsidRPr="009A16E8">
              <w:rPr>
                <w:spacing w:val="-18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:</w:t>
            </w:r>
          </w:p>
          <w:p w14:paraId="0AA3ED5C" w14:textId="77777777" w:rsidR="00EA4E21" w:rsidRPr="009A16E8" w:rsidRDefault="00EA4E21" w:rsidP="00EA4E2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ind w:left="469" w:hanging="284"/>
              <w:rPr>
                <w:sz w:val="14"/>
                <w:szCs w:val="18"/>
              </w:rPr>
            </w:pPr>
            <w:r w:rsidRPr="009A16E8">
              <w:rPr>
                <w:sz w:val="14"/>
                <w:szCs w:val="18"/>
              </w:rPr>
              <w:t>Consolidation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des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acquis</w:t>
            </w:r>
          </w:p>
          <w:p w14:paraId="4DD59812" w14:textId="77777777" w:rsidR="00EA4E21" w:rsidRPr="009A16E8" w:rsidRDefault="00EA4E21" w:rsidP="00EA4E2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8"/>
              </w:rPr>
            </w:pPr>
            <w:r w:rsidRPr="009A16E8">
              <w:rPr>
                <w:w w:val="90"/>
                <w:sz w:val="14"/>
                <w:szCs w:val="18"/>
              </w:rPr>
              <w:t xml:space="preserve">Accompagnement personnalisé </w:t>
            </w:r>
          </w:p>
          <w:p w14:paraId="1637C67B" w14:textId="77777777" w:rsidR="00EA4E21" w:rsidRPr="009A16E8" w:rsidRDefault="00EA4E21" w:rsidP="00EA4E21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8"/>
              </w:rPr>
            </w:pPr>
            <w:r w:rsidRPr="009A16E8">
              <w:rPr>
                <w:sz w:val="14"/>
                <w:szCs w:val="18"/>
              </w:rPr>
              <w:t xml:space="preserve">Aide </w:t>
            </w:r>
            <w:r w:rsidRPr="009A16E8">
              <w:rPr>
                <w:spacing w:val="-43"/>
                <w:sz w:val="14"/>
                <w:szCs w:val="18"/>
              </w:rPr>
              <w:t>à</w:t>
            </w:r>
            <w:r w:rsidRPr="009A16E8">
              <w:rPr>
                <w:sz w:val="14"/>
                <w:szCs w:val="18"/>
              </w:rPr>
              <w:t xml:space="preserve">  </w:t>
            </w:r>
            <w:r w:rsidRPr="009A16E8">
              <w:rPr>
                <w:spacing w:val="-44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l’orientation (module </w:t>
            </w:r>
            <w:r w:rsidRPr="009A16E8">
              <w:rPr>
                <w:w w:val="90"/>
                <w:sz w:val="14"/>
                <w:szCs w:val="18"/>
              </w:rPr>
              <w:t>d’insertion professionnelle</w:t>
            </w:r>
            <w:r w:rsidRPr="009A16E8">
              <w:rPr>
                <w:spacing w:val="-31"/>
                <w:w w:val="90"/>
                <w:sz w:val="14"/>
                <w:szCs w:val="18"/>
              </w:rPr>
              <w:t xml:space="preserve">   </w:t>
            </w:r>
            <w:r w:rsidRPr="009A16E8">
              <w:rPr>
                <w:w w:val="90"/>
                <w:sz w:val="14"/>
                <w:szCs w:val="18"/>
              </w:rPr>
              <w:t xml:space="preserve">et de </w:t>
            </w:r>
            <w:r w:rsidRPr="009A16E8">
              <w:rPr>
                <w:w w:val="95"/>
                <w:sz w:val="14"/>
                <w:szCs w:val="18"/>
              </w:rPr>
              <w:t>poursuite</w:t>
            </w:r>
            <w:r w:rsidRPr="009A16E8">
              <w:rPr>
                <w:spacing w:val="-1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d’études)</w:t>
            </w:r>
          </w:p>
          <w:p w14:paraId="74C60B49" w14:textId="77777777" w:rsidR="00EA4E21" w:rsidRDefault="00EA4E21" w:rsidP="00EA4E21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8"/>
              </w:rPr>
            </w:pPr>
            <w:r w:rsidRPr="001E25F9">
              <w:rPr>
                <w:b/>
                <w:w w:val="95"/>
                <w:sz w:val="14"/>
                <w:szCs w:val="18"/>
              </w:rPr>
              <w:t>CAP</w:t>
            </w:r>
            <w:r w:rsidRPr="001E25F9">
              <w:rPr>
                <w:b/>
                <w:spacing w:val="-14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:</w:t>
            </w:r>
            <w:r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spacing w:val="-28"/>
                <w:w w:val="95"/>
                <w:sz w:val="14"/>
                <w:szCs w:val="18"/>
              </w:rPr>
              <w:t xml:space="preserve">   </w:t>
            </w:r>
            <w:r w:rsidRPr="009A16E8">
              <w:rPr>
                <w:w w:val="95"/>
                <w:sz w:val="14"/>
                <w:szCs w:val="18"/>
              </w:rPr>
              <w:t>192,5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h</w:t>
            </w:r>
            <w:r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 </w:t>
            </w:r>
            <w:r w:rsidRPr="009A16E8">
              <w:rPr>
                <w:w w:val="95"/>
                <w:sz w:val="14"/>
                <w:szCs w:val="18"/>
              </w:rPr>
              <w:t>pour</w:t>
            </w:r>
            <w:r w:rsidRPr="009A16E8">
              <w:rPr>
                <w:spacing w:val="-2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le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cycle </w:t>
            </w:r>
          </w:p>
          <w:p w14:paraId="6CABEEF8" w14:textId="77777777" w:rsidR="00EA4E21" w:rsidRPr="00DF5BFC" w:rsidRDefault="00EA4E21" w:rsidP="00EA4E21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8"/>
              </w:rPr>
            </w:pPr>
            <w:r>
              <w:rPr>
                <w:w w:val="95"/>
                <w:sz w:val="14"/>
                <w:szCs w:val="18"/>
              </w:rPr>
              <w:t xml:space="preserve">           </w:t>
            </w:r>
            <w:r w:rsidRPr="009A16E8">
              <w:rPr>
                <w:sz w:val="14"/>
                <w:szCs w:val="18"/>
                <w:u w:val="single" w:color="404040"/>
              </w:rPr>
              <w:t>Année 1</w:t>
            </w:r>
            <w:r w:rsidRPr="009A16E8">
              <w:rPr>
                <w:sz w:val="14"/>
                <w:szCs w:val="18"/>
              </w:rPr>
              <w:t xml:space="preserve"> : 101,5 </w:t>
            </w:r>
            <w:r>
              <w:rPr>
                <w:sz w:val="14"/>
                <w:szCs w:val="18"/>
              </w:rPr>
              <w:t xml:space="preserve">h / </w:t>
            </w:r>
            <w:r w:rsidRPr="009A16E8">
              <w:rPr>
                <w:sz w:val="14"/>
                <w:szCs w:val="18"/>
                <w:u w:val="single" w:color="404040"/>
              </w:rPr>
              <w:t>Année</w:t>
            </w:r>
            <w:r>
              <w:rPr>
                <w:sz w:val="14"/>
                <w:szCs w:val="18"/>
                <w:u w:val="single" w:color="404040"/>
              </w:rPr>
              <w:t xml:space="preserve"> </w:t>
            </w:r>
            <w:r w:rsidRPr="009A16E8">
              <w:rPr>
                <w:spacing w:val="-24"/>
                <w:sz w:val="14"/>
                <w:szCs w:val="18"/>
                <w:u w:val="single" w:color="404040"/>
              </w:rPr>
              <w:t xml:space="preserve"> </w:t>
            </w:r>
            <w:r w:rsidRPr="009A16E8">
              <w:rPr>
                <w:sz w:val="14"/>
                <w:szCs w:val="18"/>
                <w:u w:val="single" w:color="404040"/>
              </w:rPr>
              <w:t>2</w:t>
            </w:r>
            <w:r>
              <w:rPr>
                <w:sz w:val="14"/>
                <w:szCs w:val="18"/>
                <w:u w:val="single" w:color="404040"/>
              </w:rPr>
              <w:t xml:space="preserve"> </w:t>
            </w:r>
            <w:r w:rsidRPr="009A16E8">
              <w:rPr>
                <w:spacing w:val="-23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:</w:t>
            </w:r>
            <w:r w:rsidRPr="009A16E8">
              <w:rPr>
                <w:spacing w:val="-25"/>
                <w:sz w:val="14"/>
                <w:szCs w:val="18"/>
              </w:rPr>
              <w:t xml:space="preserve">     </w:t>
            </w:r>
            <w:r w:rsidRPr="009A16E8">
              <w:rPr>
                <w:sz w:val="14"/>
                <w:szCs w:val="18"/>
              </w:rPr>
              <w:t>91</w:t>
            </w:r>
            <w:r w:rsidRPr="009A16E8">
              <w:rPr>
                <w:spacing w:val="-24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h</w:t>
            </w:r>
          </w:p>
          <w:p w14:paraId="1AFB9F40" w14:textId="77777777" w:rsidR="00EA4E21" w:rsidRPr="009A16E8" w:rsidRDefault="00EA4E21" w:rsidP="00EA4E21">
            <w:pPr>
              <w:pStyle w:val="TableParagraph"/>
              <w:spacing w:line="268" w:lineRule="auto"/>
              <w:ind w:left="109" w:right="626"/>
              <w:rPr>
                <w:sz w:val="14"/>
                <w:szCs w:val="18"/>
              </w:rPr>
            </w:pPr>
            <w:r w:rsidRPr="001E25F9">
              <w:rPr>
                <w:b/>
                <w:sz w:val="14"/>
                <w:szCs w:val="18"/>
              </w:rPr>
              <w:t>Bac</w:t>
            </w:r>
            <w:r w:rsidRPr="001E25F9">
              <w:rPr>
                <w:b/>
                <w:spacing w:val="-25"/>
                <w:sz w:val="14"/>
                <w:szCs w:val="18"/>
              </w:rPr>
              <w:t xml:space="preserve"> </w:t>
            </w:r>
            <w:r w:rsidRPr="001E25F9">
              <w:rPr>
                <w:b/>
                <w:sz w:val="14"/>
                <w:szCs w:val="18"/>
              </w:rPr>
              <w:t>Pro</w:t>
            </w:r>
            <w:r w:rsidRPr="009A16E8">
              <w:rPr>
                <w:b/>
                <w:spacing w:val="-23"/>
                <w:sz w:val="14"/>
                <w:szCs w:val="18"/>
              </w:rPr>
              <w:t xml:space="preserve"> :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40"/>
                <w:sz w:val="14"/>
                <w:szCs w:val="18"/>
              </w:rPr>
              <w:t xml:space="preserve">                         </w:t>
            </w:r>
            <w:r>
              <w:rPr>
                <w:spacing w:val="-40"/>
                <w:sz w:val="14"/>
                <w:szCs w:val="18"/>
              </w:rPr>
              <w:t xml:space="preserve">      </w:t>
            </w:r>
            <w:r>
              <w:rPr>
                <w:sz w:val="14"/>
                <w:szCs w:val="18"/>
              </w:rPr>
              <w:t xml:space="preserve"> 2</w:t>
            </w:r>
            <w:r w:rsidRPr="009A16E8">
              <w:rPr>
                <w:sz w:val="14"/>
                <w:szCs w:val="18"/>
              </w:rPr>
              <w:t>65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h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pour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le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cycle </w:t>
            </w:r>
          </w:p>
          <w:p w14:paraId="4219172B" w14:textId="77777777" w:rsidR="00EA4E21" w:rsidRPr="009A16E8" w:rsidRDefault="00EA4E21" w:rsidP="00EA4E21">
            <w:pPr>
              <w:pStyle w:val="TableParagraph"/>
              <w:spacing w:line="268" w:lineRule="auto"/>
              <w:ind w:left="109" w:right="626"/>
              <w:rPr>
                <w:spacing w:val="-40"/>
                <w:sz w:val="14"/>
                <w:szCs w:val="18"/>
              </w:rPr>
            </w:pPr>
            <w:r w:rsidRPr="00DF5BFC">
              <w:rPr>
                <w:sz w:val="14"/>
                <w:szCs w:val="18"/>
              </w:rPr>
              <w:t xml:space="preserve">          </w:t>
            </w:r>
            <w:r w:rsidRPr="009A16E8">
              <w:rPr>
                <w:sz w:val="14"/>
                <w:szCs w:val="18"/>
                <w:u w:val="single" w:color="404040"/>
              </w:rPr>
              <w:t>Seconde</w:t>
            </w:r>
            <w:r w:rsidRPr="005E7064">
              <w:rPr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:  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90 heures </w:t>
            </w:r>
          </w:p>
          <w:p w14:paraId="579A99F2" w14:textId="77777777" w:rsidR="00EA4E21" w:rsidRPr="009A16E8" w:rsidRDefault="00EA4E21" w:rsidP="00EA4E21">
            <w:pPr>
              <w:pStyle w:val="TableParagraph"/>
              <w:spacing w:line="268" w:lineRule="auto"/>
              <w:ind w:left="109" w:right="626"/>
              <w:rPr>
                <w:sz w:val="14"/>
                <w:szCs w:val="18"/>
              </w:rPr>
            </w:pPr>
            <w:r w:rsidRPr="00DF5BFC">
              <w:rPr>
                <w:sz w:val="14"/>
                <w:szCs w:val="18"/>
              </w:rPr>
              <w:t xml:space="preserve">         </w:t>
            </w:r>
            <w:r w:rsidRPr="005E7064">
              <w:rPr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  <w:u w:val="single" w:color="404040"/>
              </w:rPr>
              <w:t>Première</w:t>
            </w:r>
            <w:r w:rsidRPr="00DF5BFC"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7"/>
                <w:sz w:val="14"/>
                <w:szCs w:val="18"/>
              </w:rPr>
              <w:t>:</w:t>
            </w:r>
            <w:r>
              <w:rPr>
                <w:sz w:val="14"/>
                <w:szCs w:val="18"/>
              </w:rPr>
              <w:t xml:space="preserve">  </w:t>
            </w:r>
            <w:r w:rsidRPr="009A16E8">
              <w:rPr>
                <w:spacing w:val="-27"/>
                <w:sz w:val="14"/>
                <w:szCs w:val="18"/>
              </w:rPr>
              <w:t xml:space="preserve">     </w:t>
            </w:r>
            <w:r w:rsidRPr="009A16E8">
              <w:rPr>
                <w:sz w:val="14"/>
                <w:szCs w:val="18"/>
              </w:rPr>
              <w:t>84</w:t>
            </w:r>
            <w:r w:rsidRPr="009A16E8">
              <w:rPr>
                <w:spacing w:val="-27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heures</w:t>
            </w:r>
          </w:p>
          <w:p w14:paraId="2480AA1A" w14:textId="6110C422" w:rsidR="009A16E8" w:rsidRPr="009A16E8" w:rsidRDefault="00EA4E21" w:rsidP="00EA4E21">
            <w:pPr>
              <w:rPr>
                <w:w w:val="95"/>
                <w:sz w:val="14"/>
                <w:szCs w:val="18"/>
              </w:rPr>
            </w:pPr>
            <w:r w:rsidRPr="009A16E8">
              <w:rPr>
                <w:w w:val="95"/>
                <w:sz w:val="14"/>
                <w:szCs w:val="18"/>
              </w:rPr>
              <w:t xml:space="preserve">   </w:t>
            </w:r>
            <w:r>
              <w:rPr>
                <w:w w:val="95"/>
                <w:sz w:val="14"/>
                <w:szCs w:val="18"/>
              </w:rPr>
              <w:t xml:space="preserve">           </w:t>
            </w:r>
            <w:r w:rsidRPr="009A16E8">
              <w:rPr>
                <w:w w:val="95"/>
                <w:sz w:val="14"/>
                <w:szCs w:val="18"/>
                <w:u w:val="single"/>
              </w:rPr>
              <w:t>Terminale</w:t>
            </w:r>
            <w:r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: 91 heures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4C1F158F" w14:textId="72488D21" w:rsidR="00625ACC" w:rsidRPr="00625ACC" w:rsidRDefault="000448D7" w:rsidP="00625ACC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00B050"/>
                <w:sz w:val="16"/>
                <w:szCs w:val="18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625ACC" w:rsidRPr="00625ACC">
              <w:rPr>
                <w:b/>
                <w:color w:val="00B050"/>
                <w:sz w:val="16"/>
                <w:szCs w:val="18"/>
              </w:rPr>
              <w:t>Organisation pédagogique</w:t>
            </w:r>
          </w:p>
          <w:p w14:paraId="5F8AEC3C" w14:textId="7DBEC396" w:rsidR="00625ACC" w:rsidRPr="0029189E" w:rsidRDefault="00625ACC" w:rsidP="0029189E">
            <w:pPr>
              <w:pStyle w:val="TableParagraph"/>
              <w:tabs>
                <w:tab w:val="left" w:pos="1174"/>
                <w:tab w:val="left" w:pos="1683"/>
                <w:tab w:val="left" w:pos="2741"/>
                <w:tab w:val="left" w:pos="3146"/>
                <w:tab w:val="left" w:pos="4185"/>
                <w:tab w:val="left" w:pos="4732"/>
                <w:tab w:val="left" w:pos="5388"/>
                <w:tab w:val="left" w:pos="5856"/>
                <w:tab w:val="left" w:pos="8148"/>
              </w:tabs>
              <w:spacing w:before="5"/>
              <w:ind w:left="215" w:right="212"/>
              <w:rPr>
                <w:spacing w:val="-14"/>
                <w:w w:val="95"/>
                <w:sz w:val="16"/>
                <w:szCs w:val="16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29189E">
              <w:rPr>
                <w:sz w:val="16"/>
                <w:szCs w:val="16"/>
              </w:rPr>
              <w:t xml:space="preserve">Comment est </w:t>
            </w:r>
            <w:r w:rsidRPr="0029189E">
              <w:rPr>
                <w:w w:val="95"/>
                <w:sz w:val="16"/>
                <w:szCs w:val="16"/>
              </w:rPr>
              <w:t xml:space="preserve">organisée </w:t>
            </w:r>
            <w:r w:rsidRPr="0029189E">
              <w:rPr>
                <w:sz w:val="16"/>
                <w:szCs w:val="16"/>
              </w:rPr>
              <w:t xml:space="preserve">la </w:t>
            </w:r>
            <w:r w:rsidR="0029189E" w:rsidRPr="0029189E">
              <w:rPr>
                <w:w w:val="95"/>
                <w:sz w:val="16"/>
                <w:szCs w:val="16"/>
              </w:rPr>
              <w:t xml:space="preserve">passation </w:t>
            </w:r>
            <w:r w:rsidRPr="0029189E">
              <w:rPr>
                <w:sz w:val="16"/>
                <w:szCs w:val="16"/>
              </w:rPr>
              <w:t xml:space="preserve">des tests de positionnement </w:t>
            </w:r>
            <w:r w:rsidRPr="0029189E">
              <w:rPr>
                <w:w w:val="95"/>
                <w:sz w:val="16"/>
                <w:szCs w:val="16"/>
              </w:rPr>
              <w:t>nationaux</w:t>
            </w:r>
            <w:r w:rsidRPr="0029189E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29189E">
              <w:rPr>
                <w:spacing w:val="-14"/>
                <w:w w:val="95"/>
                <w:sz w:val="16"/>
                <w:szCs w:val="16"/>
              </w:rPr>
              <w:t xml:space="preserve">?  </w:t>
            </w:r>
          </w:p>
          <w:p w14:paraId="6F95991A" w14:textId="0FC8BD7F" w:rsidR="00625ACC" w:rsidRPr="00625ACC" w:rsidRDefault="00625ACC" w:rsidP="00625ACC">
            <w:pPr>
              <w:pStyle w:val="TableParagraph"/>
              <w:tabs>
                <w:tab w:val="left" w:pos="1174"/>
                <w:tab w:val="left" w:pos="1683"/>
                <w:tab w:val="left" w:pos="2741"/>
                <w:tab w:val="left" w:pos="3146"/>
                <w:tab w:val="left" w:pos="4185"/>
                <w:tab w:val="left" w:pos="4732"/>
                <w:tab w:val="left" w:pos="5388"/>
                <w:tab w:val="left" w:pos="5856"/>
                <w:tab w:val="left" w:pos="8148"/>
              </w:tabs>
              <w:spacing w:before="5"/>
              <w:ind w:left="215" w:right="21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Quels</w:t>
            </w:r>
            <w:r w:rsidRPr="00625ACC">
              <w:rPr>
                <w:spacing w:val="-17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sont</w:t>
            </w:r>
            <w:r w:rsidRPr="00625ACC">
              <w:rPr>
                <w:spacing w:val="-14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les</w:t>
            </w:r>
            <w:r w:rsidRPr="00625ACC">
              <w:rPr>
                <w:spacing w:val="-16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personnels</w:t>
            </w:r>
            <w:r w:rsidRPr="00625ACC">
              <w:rPr>
                <w:spacing w:val="-17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et</w:t>
            </w:r>
            <w:r w:rsidRPr="00625ACC">
              <w:rPr>
                <w:spacing w:val="-14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les</w:t>
            </w:r>
            <w:r w:rsidRPr="00625ACC">
              <w:rPr>
                <w:spacing w:val="-16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disciplines</w:t>
            </w:r>
            <w:r w:rsidRPr="00625ACC">
              <w:rPr>
                <w:spacing w:val="-17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mobilisés</w:t>
            </w:r>
            <w:r w:rsidRPr="00625ACC">
              <w:rPr>
                <w:spacing w:val="-12"/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?</w:t>
            </w:r>
          </w:p>
          <w:p w14:paraId="591F7C72" w14:textId="07C85BB4" w:rsidR="00625ACC" w:rsidRPr="00625ACC" w:rsidRDefault="00625ACC" w:rsidP="0029189E">
            <w:pPr>
              <w:pStyle w:val="TableParagraph"/>
              <w:tabs>
                <w:tab w:val="left" w:pos="8148"/>
              </w:tabs>
              <w:spacing w:before="2"/>
              <w:ind w:left="340" w:hanging="141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La répartition des élèves dans les groupes est-elle décidée en équipes disciplinaires de mathématiques et de français ? </w:t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D’autres disciplines sont-elles associées ?</w:t>
            </w:r>
          </w:p>
          <w:p w14:paraId="27F600F3" w14:textId="00111369" w:rsidR="00625ACC" w:rsidRPr="00625ACC" w:rsidRDefault="00625ACC" w:rsidP="00625ACC">
            <w:pPr>
              <w:pStyle w:val="TableParagraph"/>
              <w:tabs>
                <w:tab w:val="left" w:pos="1174"/>
                <w:tab w:val="left" w:pos="1683"/>
                <w:tab w:val="left" w:pos="2741"/>
                <w:tab w:val="left" w:pos="3146"/>
                <w:tab w:val="left" w:pos="4185"/>
                <w:tab w:val="left" w:pos="4732"/>
                <w:tab w:val="left" w:pos="5388"/>
                <w:tab w:val="left" w:pos="5856"/>
                <w:tab w:val="left" w:pos="8148"/>
              </w:tabs>
              <w:spacing w:before="5"/>
              <w:ind w:left="215" w:right="21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Comment est organisée la communication interne au sein des équipes pédagogiques, de l’établissement ?</w:t>
            </w:r>
          </w:p>
          <w:p w14:paraId="238F3475" w14:textId="7F2048F0" w:rsidR="00625ACC" w:rsidRPr="00625ACC" w:rsidRDefault="00625ACC" w:rsidP="00625ACC">
            <w:pPr>
              <w:pStyle w:val="TableParagraph"/>
              <w:tabs>
                <w:tab w:val="left" w:pos="8148"/>
              </w:tabs>
              <w:spacing w:before="4"/>
              <w:ind w:left="2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Comment sont définis les contenus des modules de consolidation ?</w:t>
            </w:r>
          </w:p>
          <w:p w14:paraId="47DC3F99" w14:textId="1B2A7272" w:rsidR="00625ACC" w:rsidRPr="00625ACC" w:rsidRDefault="00625ACC" w:rsidP="00625ACC">
            <w:pPr>
              <w:pStyle w:val="TableParagraph"/>
              <w:tabs>
                <w:tab w:val="left" w:pos="8148"/>
              </w:tabs>
              <w:ind w:left="2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Comment est établi le lien avec le Livret Scolaire Unique (LSU) ?</w:t>
            </w:r>
          </w:p>
          <w:p w14:paraId="6780BB47" w14:textId="18848E22" w:rsidR="00625ACC" w:rsidRPr="00625ACC" w:rsidRDefault="00625ACC" w:rsidP="00625ACC">
            <w:pPr>
              <w:pStyle w:val="TableParagraph"/>
              <w:tabs>
                <w:tab w:val="left" w:pos="8148"/>
              </w:tabs>
              <w:spacing w:before="15"/>
              <w:ind w:left="2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29189E">
              <w:rPr>
                <w:sz w:val="16"/>
                <w:szCs w:val="18"/>
              </w:rPr>
              <w:t xml:space="preserve">Quels autres outils internes à l’établissement sont utilisés pour affiner les besoins en consolidation ? </w:t>
            </w:r>
          </w:p>
          <w:p w14:paraId="509D85CF" w14:textId="258EDE18" w:rsidR="00625ACC" w:rsidRPr="00625ACC" w:rsidRDefault="00625ACC" w:rsidP="00625ACC">
            <w:pPr>
              <w:tabs>
                <w:tab w:val="left" w:pos="323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La consolidation est-elle organisée en barrettes dans l’emploi du temps des élèves ?</w:t>
            </w:r>
          </w:p>
          <w:p w14:paraId="46232912" w14:textId="77777777" w:rsidR="00625ACC" w:rsidRPr="00625ACC" w:rsidRDefault="00625ACC" w:rsidP="00625ACC">
            <w:pPr>
              <w:widowControl w:val="0"/>
              <w:tabs>
                <w:tab w:val="left" w:pos="323"/>
                <w:tab w:val="left" w:pos="8148"/>
              </w:tabs>
              <w:ind w:right="172"/>
              <w:jc w:val="both"/>
              <w:rPr>
                <w:rFonts w:cs="Calibri"/>
                <w:sz w:val="16"/>
                <w:szCs w:val="16"/>
              </w:rPr>
            </w:pPr>
          </w:p>
          <w:p w14:paraId="4DEB6D55" w14:textId="77777777" w:rsidR="00625ACC" w:rsidRPr="00625ACC" w:rsidRDefault="00625ACC" w:rsidP="00625ACC">
            <w:pPr>
              <w:tabs>
                <w:tab w:val="left" w:pos="248"/>
                <w:tab w:val="left" w:pos="8148"/>
              </w:tabs>
              <w:ind w:left="215" w:right="172" w:hanging="158"/>
              <w:jc w:val="both"/>
              <w:rPr>
                <w:b/>
                <w:color w:val="00B050"/>
                <w:sz w:val="16"/>
                <w:szCs w:val="18"/>
              </w:rPr>
            </w:pPr>
            <w:r w:rsidRPr="00625ACC">
              <w:rPr>
                <w:b/>
                <w:color w:val="00B050"/>
                <w:sz w:val="16"/>
                <w:szCs w:val="18"/>
              </w:rPr>
              <w:t>Modalités </w:t>
            </w:r>
          </w:p>
          <w:p w14:paraId="5BCE2EE4" w14:textId="74A2169A" w:rsidR="00625ACC" w:rsidRPr="00625ACC" w:rsidRDefault="00625ACC" w:rsidP="00625ACC">
            <w:pPr>
              <w:pStyle w:val="TableParagraph"/>
              <w:tabs>
                <w:tab w:val="left" w:pos="248"/>
                <w:tab w:val="left" w:pos="8148"/>
              </w:tabs>
              <w:spacing w:before="4"/>
              <w:ind w:left="215" w:right="21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compétences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compréhension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maîtrise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la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langue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sont-elles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travaillées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façon prioritaire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dans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les disciplines concernées ? 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Comment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?</w:t>
            </w:r>
            <w:r w:rsidRPr="0029189E">
              <w:rPr>
                <w:sz w:val="16"/>
                <w:szCs w:val="18"/>
              </w:rPr>
              <w:t xml:space="preserve">  </w:t>
            </w:r>
            <w:r w:rsidRPr="00625ACC">
              <w:rPr>
                <w:sz w:val="16"/>
                <w:szCs w:val="18"/>
              </w:rPr>
              <w:t>D’autres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priorités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sont-elles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envisagées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?</w:t>
            </w:r>
          </w:p>
          <w:p w14:paraId="0FE9D8F1" w14:textId="7846280C" w:rsidR="00625ACC" w:rsidRPr="00625ACC" w:rsidRDefault="00625ACC" w:rsidP="00625ACC">
            <w:pPr>
              <w:tabs>
                <w:tab w:val="left" w:pos="248"/>
                <w:tab w:val="left" w:pos="8148"/>
              </w:tabs>
              <w:adjustRightInd w:val="0"/>
              <w:ind w:left="2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Quel lien entre les contenus de la consolidation, les savoirs disciplinaires et l’articulation entre les différents enseignements ? </w:t>
            </w: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 créneaux de concertation sont-ils prévus ?</w:t>
            </w:r>
          </w:p>
          <w:p w14:paraId="1043AA8E" w14:textId="77777777" w:rsidR="0029189E" w:rsidRDefault="00625ACC" w:rsidP="0029189E">
            <w:pPr>
              <w:tabs>
                <w:tab w:val="left" w:pos="340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L’équipe pédagogique a-t-elle élaboré un diagnostic individualisé qui identifie précisément les acquis et les manques des</w:t>
            </w:r>
          </w:p>
          <w:p w14:paraId="11FB3899" w14:textId="77777777" w:rsidR="0029189E" w:rsidRDefault="00625ACC" w:rsidP="0029189E">
            <w:pPr>
              <w:tabs>
                <w:tab w:val="left" w:pos="340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 w:rsidRPr="00625ACC">
              <w:rPr>
                <w:sz w:val="16"/>
                <w:szCs w:val="18"/>
              </w:rPr>
              <w:t xml:space="preserve"> </w:t>
            </w:r>
            <w:r w:rsid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nouveaux lycéens pour lesquels les connaissances et compétences composant le socle commun en fin de cycle 4 ne sont </w:t>
            </w:r>
          </w:p>
          <w:p w14:paraId="19344F8C" w14:textId="21FE8949" w:rsidR="00625ACC" w:rsidRPr="00625ACC" w:rsidRDefault="0029189E" w:rsidP="0029189E">
            <w:pPr>
              <w:tabs>
                <w:tab w:val="left" w:pos="340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r w:rsidR="00625ACC" w:rsidRPr="00625ACC">
              <w:rPr>
                <w:sz w:val="16"/>
                <w:szCs w:val="18"/>
              </w:rPr>
              <w:t>pas stabilisées ?</w:t>
            </w:r>
          </w:p>
          <w:p w14:paraId="06DC77F8" w14:textId="3AE5AC0E" w:rsidR="00625ACC" w:rsidRPr="00625ACC" w:rsidRDefault="00625ACC" w:rsidP="00625ACC">
            <w:pPr>
              <w:tabs>
                <w:tab w:val="left" w:pos="248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 périodes sont-elles définies en fonction des besoins des élèves ?</w:t>
            </w:r>
          </w:p>
          <w:p w14:paraId="52F30ADB" w14:textId="46E64DC8" w:rsidR="00625ACC" w:rsidRPr="00625ACC" w:rsidRDefault="00625ACC" w:rsidP="00625ACC">
            <w:pPr>
              <w:tabs>
                <w:tab w:val="left" w:pos="248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Les classes ont-elles été décloisonnées ? </w:t>
            </w:r>
          </w:p>
          <w:p w14:paraId="50F46260" w14:textId="7AE728E6" w:rsidR="00625ACC" w:rsidRPr="00625ACC" w:rsidRDefault="00625ACC" w:rsidP="00625ACC">
            <w:pPr>
              <w:tabs>
                <w:tab w:val="left" w:pos="248"/>
                <w:tab w:val="left" w:pos="81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 groupes de besoins ou de compétences ont-ils été créés ?</w:t>
            </w:r>
          </w:p>
          <w:p w14:paraId="4A6EEF84" w14:textId="77777777" w:rsidR="00625ACC" w:rsidRPr="00625ACC" w:rsidRDefault="00625ACC" w:rsidP="00625ACC">
            <w:pPr>
              <w:widowControl w:val="0"/>
              <w:tabs>
                <w:tab w:val="left" w:pos="248"/>
              </w:tabs>
              <w:ind w:left="215" w:right="172"/>
              <w:jc w:val="both"/>
              <w:rPr>
                <w:rFonts w:cs="Calibri"/>
                <w:sz w:val="16"/>
                <w:szCs w:val="16"/>
              </w:rPr>
            </w:pPr>
          </w:p>
          <w:p w14:paraId="1CE77159" w14:textId="77777777" w:rsidR="00625ACC" w:rsidRPr="00625ACC" w:rsidRDefault="00625ACC" w:rsidP="00625ACC">
            <w:pPr>
              <w:tabs>
                <w:tab w:val="left" w:pos="57"/>
              </w:tabs>
              <w:ind w:left="215" w:right="172" w:hanging="158"/>
              <w:jc w:val="both"/>
              <w:rPr>
                <w:b/>
                <w:color w:val="00B050"/>
                <w:sz w:val="16"/>
                <w:szCs w:val="18"/>
              </w:rPr>
            </w:pPr>
            <w:r w:rsidRPr="00625ACC">
              <w:rPr>
                <w:b/>
                <w:color w:val="00B050"/>
                <w:sz w:val="16"/>
                <w:szCs w:val="18"/>
              </w:rPr>
              <w:t>Suivi et évaluation</w:t>
            </w:r>
          </w:p>
          <w:p w14:paraId="75F4275D" w14:textId="05CDF606" w:rsidR="00625ACC" w:rsidRPr="00625ACC" w:rsidRDefault="00625ACC" w:rsidP="00625ACC">
            <w:pPr>
              <w:tabs>
                <w:tab w:val="left" w:pos="248"/>
              </w:tabs>
              <w:ind w:left="215" w:right="1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Comment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est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organisé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suivi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élèves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?</w:t>
            </w:r>
          </w:p>
          <w:p w14:paraId="7D6B6FC2" w14:textId="77777777" w:rsidR="0029189E" w:rsidRDefault="00625ACC" w:rsidP="0029189E">
            <w:pPr>
              <w:pStyle w:val="TableParagraph"/>
              <w:tabs>
                <w:tab w:val="left" w:pos="340"/>
              </w:tabs>
              <w:spacing w:before="3"/>
              <w:ind w:left="215" w:right="21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Quels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sont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effets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séances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spécifiques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sur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l’implication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élèves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dans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les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cours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 mathématiques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et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</w:t>
            </w:r>
            <w:r w:rsidRPr="0029189E">
              <w:rPr>
                <w:sz w:val="16"/>
                <w:szCs w:val="18"/>
              </w:rPr>
              <w:t xml:space="preserve"> </w:t>
            </w:r>
          </w:p>
          <w:p w14:paraId="3297184B" w14:textId="5320B91D" w:rsidR="00625ACC" w:rsidRPr="00625ACC" w:rsidRDefault="0029189E" w:rsidP="0029189E">
            <w:pPr>
              <w:pStyle w:val="TableParagraph"/>
              <w:tabs>
                <w:tab w:val="left" w:pos="340"/>
              </w:tabs>
              <w:spacing w:before="3"/>
              <w:ind w:left="215" w:right="21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r w:rsidR="00625ACC" w:rsidRPr="00625ACC">
              <w:rPr>
                <w:sz w:val="16"/>
                <w:szCs w:val="18"/>
              </w:rPr>
              <w:t>français</w:t>
            </w:r>
            <w:r w:rsidR="00625ACC" w:rsidRPr="0029189E">
              <w:rPr>
                <w:sz w:val="16"/>
                <w:szCs w:val="18"/>
              </w:rPr>
              <w:t xml:space="preserve"> </w:t>
            </w:r>
            <w:r w:rsidR="00625ACC" w:rsidRPr="00625ACC">
              <w:rPr>
                <w:sz w:val="16"/>
                <w:szCs w:val="18"/>
              </w:rPr>
              <w:t>?</w:t>
            </w:r>
          </w:p>
          <w:p w14:paraId="6BFC566D" w14:textId="77777777" w:rsidR="0029189E" w:rsidRDefault="00625ACC" w:rsidP="00625ACC">
            <w:pPr>
              <w:pStyle w:val="TableParagraph"/>
              <w:tabs>
                <w:tab w:val="left" w:pos="248"/>
              </w:tabs>
              <w:spacing w:before="2"/>
              <w:ind w:left="215" w:right="55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29189E">
              <w:rPr>
                <w:sz w:val="16"/>
                <w:szCs w:val="18"/>
              </w:rPr>
              <w:t xml:space="preserve">Le volet « consolidation des acquis » fait-il l’objet d’une ou plusieurs enquêtes de satisfaction </w:t>
            </w:r>
            <w:r w:rsidRPr="00625ACC">
              <w:rPr>
                <w:sz w:val="16"/>
                <w:szCs w:val="18"/>
              </w:rPr>
              <w:t>auprès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</w:t>
            </w:r>
            <w:r w:rsidRPr="0029189E"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 xml:space="preserve">élèves, </w:t>
            </w:r>
          </w:p>
          <w:p w14:paraId="698BB24F" w14:textId="4A8C9260" w:rsidR="00625ACC" w:rsidRPr="00625ACC" w:rsidRDefault="0029189E" w:rsidP="00625ACC">
            <w:pPr>
              <w:pStyle w:val="TableParagraph"/>
              <w:tabs>
                <w:tab w:val="left" w:pos="248"/>
              </w:tabs>
              <w:spacing w:before="2"/>
              <w:ind w:left="215" w:right="55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r w:rsidR="00625ACC" w:rsidRPr="00625ACC">
              <w:rPr>
                <w:sz w:val="16"/>
                <w:szCs w:val="18"/>
              </w:rPr>
              <w:t>parents,</w:t>
            </w:r>
            <w:r w:rsidR="00625ACC" w:rsidRPr="0029189E">
              <w:rPr>
                <w:sz w:val="16"/>
                <w:szCs w:val="18"/>
              </w:rPr>
              <w:t xml:space="preserve"> </w:t>
            </w:r>
            <w:r w:rsidR="00625ACC" w:rsidRPr="00625ACC">
              <w:rPr>
                <w:sz w:val="16"/>
                <w:szCs w:val="18"/>
              </w:rPr>
              <w:t>équipes</w:t>
            </w:r>
            <w:r w:rsidR="00625ACC" w:rsidRPr="0029189E">
              <w:rPr>
                <w:sz w:val="16"/>
                <w:szCs w:val="18"/>
              </w:rPr>
              <w:t xml:space="preserve"> </w:t>
            </w:r>
            <w:r w:rsidR="00625ACC" w:rsidRPr="00625ACC">
              <w:rPr>
                <w:sz w:val="16"/>
                <w:szCs w:val="18"/>
              </w:rPr>
              <w:t>mobilisées</w:t>
            </w:r>
            <w:r w:rsidR="00625ACC" w:rsidRPr="0029189E">
              <w:rPr>
                <w:sz w:val="16"/>
                <w:szCs w:val="18"/>
              </w:rPr>
              <w:t xml:space="preserve"> </w:t>
            </w:r>
            <w:r w:rsidR="00625ACC" w:rsidRPr="00625ACC">
              <w:rPr>
                <w:sz w:val="16"/>
                <w:szCs w:val="18"/>
              </w:rPr>
              <w:t>?</w:t>
            </w:r>
          </w:p>
          <w:p w14:paraId="4DB152C0" w14:textId="77777777" w:rsidR="0029189E" w:rsidRDefault="00625ACC" w:rsidP="00625ACC">
            <w:pPr>
              <w:pStyle w:val="TableParagraph"/>
              <w:tabs>
                <w:tab w:val="left" w:pos="248"/>
              </w:tabs>
              <w:spacing w:before="4"/>
              <w:ind w:left="215" w:right="1316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sym w:font="Wingdings 2" w:char="F096"/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Des actions pédagogiques remarquables, innovantes, inspirantes</w:t>
            </w:r>
            <w:r>
              <w:rPr>
                <w:sz w:val="16"/>
                <w:szCs w:val="18"/>
              </w:rPr>
              <w:t xml:space="preserve"> </w:t>
            </w:r>
            <w:r w:rsidRPr="00625ACC">
              <w:rPr>
                <w:sz w:val="16"/>
                <w:szCs w:val="18"/>
              </w:rPr>
              <w:t>font-elles l’objet d’une valorisation</w:t>
            </w:r>
          </w:p>
          <w:p w14:paraId="2F448254" w14:textId="64560347" w:rsidR="00625ACC" w:rsidRPr="00625ACC" w:rsidRDefault="00625ACC" w:rsidP="00B101CE">
            <w:pPr>
              <w:pStyle w:val="TableParagraph"/>
              <w:tabs>
                <w:tab w:val="left" w:pos="248"/>
              </w:tabs>
              <w:spacing w:before="4"/>
              <w:ind w:right="1316"/>
              <w:rPr>
                <w:sz w:val="16"/>
                <w:szCs w:val="18"/>
              </w:rPr>
            </w:pPr>
            <w:r w:rsidRPr="00625ACC">
              <w:rPr>
                <w:sz w:val="16"/>
                <w:szCs w:val="18"/>
              </w:rPr>
              <w:t xml:space="preserve">   </w:t>
            </w:r>
            <w:r w:rsidR="00B101CE">
              <w:rPr>
                <w:sz w:val="16"/>
                <w:szCs w:val="18"/>
              </w:rPr>
              <w:t xml:space="preserve">     </w:t>
            </w:r>
            <w:r w:rsidRPr="00625ACC">
              <w:rPr>
                <w:sz w:val="16"/>
                <w:szCs w:val="18"/>
              </w:rPr>
              <w:t>spécifique en établissement, sur son site web, au  niveau académique ?</w:t>
            </w:r>
          </w:p>
          <w:p w14:paraId="64DB8F8F" w14:textId="2AC72B3F" w:rsidR="000448D7" w:rsidRPr="000448D7" w:rsidRDefault="000448D7" w:rsidP="00F2651B">
            <w:pPr>
              <w:pStyle w:val="Paragraphedeliste"/>
              <w:ind w:left="80" w:right="172"/>
              <w:jc w:val="both"/>
              <w:rPr>
                <w:sz w:val="12"/>
                <w:szCs w:val="12"/>
                <w:lang w:val="fr-FR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Pr="00C6589E" w:rsidRDefault="000448D7" w:rsidP="00C6589E">
            <w:pPr>
              <w:pStyle w:val="TableParagraph"/>
              <w:tabs>
                <w:tab w:val="right" w:pos="340"/>
              </w:tabs>
              <w:rPr>
                <w:rFonts w:asciiTheme="majorHAnsi" w:hAnsiTheme="majorHAnsi" w:cs="Tahoma"/>
                <w:b/>
                <w:color w:val="E36C0A" w:themeColor="accent6" w:themeShade="BF"/>
                <w:sz w:val="18"/>
                <w:szCs w:val="18"/>
              </w:rPr>
            </w:pPr>
            <w:r w:rsidRPr="00C6589E">
              <w:rPr>
                <w:rFonts w:asciiTheme="majorHAnsi" w:hAnsiTheme="majorHAnsi" w:cs="Tahoma"/>
                <w:b/>
                <w:color w:val="E36C0A" w:themeColor="accent6" w:themeShade="BF"/>
                <w:sz w:val="18"/>
                <w:szCs w:val="18"/>
              </w:rPr>
              <w:t xml:space="preserve">Exemples d’indicateurs de suivi </w:t>
            </w:r>
          </w:p>
          <w:p w14:paraId="35099466" w14:textId="77777777" w:rsidR="00F2651B" w:rsidRDefault="00F2651B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6"/>
                <w:szCs w:val="16"/>
              </w:rPr>
            </w:pPr>
          </w:p>
          <w:p w14:paraId="228CAAA2" w14:textId="77777777" w:rsidR="00C6589E" w:rsidRPr="00C6589E" w:rsidRDefault="00C6589E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6"/>
                <w:szCs w:val="16"/>
              </w:rPr>
            </w:pPr>
          </w:p>
          <w:p w14:paraId="00D37E90" w14:textId="679F3647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Acteurs et disciplines mobilisés dans la passation des tests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1CC78D4B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4CAAFA62" w14:textId="61F21F74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Stratégies d’exploitation des résultats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50A63B34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2574AE8E" w14:textId="20AD80EE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Nombre d’élèves faibles décodeurs identifiés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5654518D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794AF83D" w14:textId="3B37F17E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Nombre d’élèves par filière nécessitant une consolidation en mathématiques, français ou autres disciplines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143A28F0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4C223B50" w14:textId="6C38501A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Nature et nombre de compétences travaillées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325CBCCB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584A4F57" w14:textId="4765F3C6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Stratégies de communication et de valorisation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299E5138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35D2B04C" w14:textId="49B7A68E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Evolution des résultats des élèves</w:t>
            </w:r>
            <w:r w:rsidR="00786951">
              <w:rPr>
                <w:w w:val="95"/>
                <w:sz w:val="17"/>
                <w:szCs w:val="17"/>
              </w:rPr>
              <w:t xml:space="preserve"> et de chaque élève.</w:t>
            </w:r>
          </w:p>
          <w:p w14:paraId="16EBFDD1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6EC21877" w14:textId="6B37A2F1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 xml:space="preserve">Nombre de réunions de concertation (présentielles ou </w:t>
            </w:r>
            <w:r w:rsidR="00C6589E" w:rsidRPr="00C6589E">
              <w:rPr>
                <w:w w:val="95"/>
                <w:sz w:val="17"/>
                <w:szCs w:val="17"/>
              </w:rPr>
              <w:t>à distance</w:t>
            </w:r>
            <w:r w:rsidRPr="00C6589E">
              <w:rPr>
                <w:w w:val="95"/>
                <w:sz w:val="17"/>
                <w:szCs w:val="17"/>
              </w:rPr>
              <w:t>)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02FB4847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27318AAA" w14:textId="5072E2C6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Valorisation des actions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15B66C98" w14:textId="77777777" w:rsidR="00625ACC" w:rsidRPr="00C6589E" w:rsidRDefault="00625ACC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7"/>
                <w:szCs w:val="17"/>
              </w:rPr>
            </w:pPr>
          </w:p>
          <w:p w14:paraId="32A151C8" w14:textId="62729D12" w:rsidR="00625ACC" w:rsidRPr="00C6589E" w:rsidRDefault="00625ACC" w:rsidP="00C6589E">
            <w:pPr>
              <w:pStyle w:val="TableParagraph"/>
              <w:numPr>
                <w:ilvl w:val="0"/>
                <w:numId w:val="34"/>
              </w:numPr>
              <w:tabs>
                <w:tab w:val="right" w:pos="340"/>
              </w:tabs>
              <w:ind w:left="198" w:hanging="142"/>
              <w:rPr>
                <w:w w:val="95"/>
                <w:sz w:val="17"/>
                <w:szCs w:val="17"/>
              </w:rPr>
            </w:pPr>
            <w:r w:rsidRPr="00C6589E">
              <w:rPr>
                <w:w w:val="95"/>
                <w:sz w:val="17"/>
                <w:szCs w:val="17"/>
              </w:rPr>
              <w:t>Enquête de satisfac</w:t>
            </w:r>
            <w:r w:rsidR="00C6589E" w:rsidRPr="00C6589E">
              <w:rPr>
                <w:w w:val="95"/>
                <w:sz w:val="17"/>
                <w:szCs w:val="17"/>
              </w:rPr>
              <w:t xml:space="preserve">tion auprès des usagers (élèves </w:t>
            </w:r>
            <w:r w:rsidRPr="00C6589E">
              <w:rPr>
                <w:w w:val="95"/>
                <w:sz w:val="17"/>
                <w:szCs w:val="17"/>
              </w:rPr>
              <w:t>et familles)</w:t>
            </w:r>
            <w:r w:rsidR="005B2A85">
              <w:rPr>
                <w:w w:val="95"/>
                <w:sz w:val="17"/>
                <w:szCs w:val="17"/>
              </w:rPr>
              <w:t>.</w:t>
            </w:r>
          </w:p>
          <w:p w14:paraId="08109E32" w14:textId="7F01123F" w:rsidR="000448D7" w:rsidRPr="00C6589E" w:rsidRDefault="000448D7" w:rsidP="00C6589E">
            <w:pPr>
              <w:pStyle w:val="TableParagraph"/>
              <w:tabs>
                <w:tab w:val="right" w:pos="340"/>
              </w:tabs>
              <w:ind w:left="56"/>
              <w:rPr>
                <w:w w:val="95"/>
                <w:sz w:val="16"/>
                <w:szCs w:val="16"/>
              </w:rPr>
            </w:pPr>
          </w:p>
        </w:tc>
      </w:tr>
    </w:tbl>
    <w:p w14:paraId="2466A8A1" w14:textId="6DD1D6BB" w:rsidR="00C7213D" w:rsidRDefault="00C7213D" w:rsidP="00212E8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454D59F" w14:textId="2627B6BA" w:rsidR="00F007A9" w:rsidRPr="00DD0461" w:rsidRDefault="000D3D38" w:rsidP="00F007A9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A4398" wp14:editId="5C99BB89">
                <wp:simplePos x="0" y="0"/>
                <wp:positionH relativeFrom="column">
                  <wp:posOffset>776605</wp:posOffset>
                </wp:positionH>
                <wp:positionV relativeFrom="paragraph">
                  <wp:posOffset>60960</wp:posOffset>
                </wp:positionV>
                <wp:extent cx="2426335" cy="483870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9F6A4" w14:textId="77777777" w:rsidR="00F007A9" w:rsidRPr="000D3D38" w:rsidRDefault="00F007A9" w:rsidP="00F007A9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2020 - Contributeurs :</w:t>
                            </w:r>
                          </w:p>
                          <w:p w14:paraId="3907A820" w14:textId="30B217A4" w:rsidR="00F007A9" w:rsidRPr="000D3D38" w:rsidRDefault="00F007A9" w:rsidP="00F007A9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Académies d’Aix-Marseille</w:t>
                            </w:r>
                            <w:r w:rsid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-</w:t>
                            </w:r>
                            <w:r w:rsidRP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Grenoble</w:t>
                            </w:r>
                            <w:r w:rsid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-</w:t>
                            </w:r>
                            <w:r w:rsidRPr="000D3D3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Limoges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4398" id="Zone de texte 2335" o:spid="_x0000_s1027" type="#_x0000_t202" style="position:absolute;left:0;text-align:left;margin-left:61.15pt;margin-top:4.8pt;width:191.05pt;height:3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" fillcolor="white [3201]" stroked="f" strokeweight=".5pt">
                <v:textbox>
                  <w:txbxContent>
                    <w:p w14:paraId="22C9F6A4" w14:textId="77777777" w:rsidR="00F007A9" w:rsidRPr="000D3D38" w:rsidRDefault="00F007A9" w:rsidP="00F007A9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2020 - Contributeurs :</w:t>
                      </w:r>
                    </w:p>
                    <w:p w14:paraId="3907A820" w14:textId="30B217A4" w:rsidR="00F007A9" w:rsidRPr="000D3D38" w:rsidRDefault="00F007A9" w:rsidP="00F007A9">
                      <w:pPr>
                        <w:rPr>
                          <w:color w:val="31849B" w:themeColor="accent5" w:themeShade="BF"/>
                        </w:rPr>
                      </w:pPr>
                      <w:r w:rsidRP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Académies d’Aix-Marseille</w:t>
                      </w:r>
                      <w:r w:rsid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-</w:t>
                      </w:r>
                      <w:r w:rsidRP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Grenoble</w:t>
                      </w:r>
                      <w:r w:rsid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-</w:t>
                      </w:r>
                      <w:r w:rsidRPr="000D3D3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Limoges</w:t>
                      </w:r>
                    </w:p>
                  </w:txbxContent>
                </v:textbox>
              </v:shape>
            </w:pict>
          </mc:Fallback>
        </mc:AlternateContent>
      </w:r>
      <w:r w:rsidR="00F007A9"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29C44" wp14:editId="215D91AA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B1EC1" w14:textId="77777777" w:rsidR="00F007A9" w:rsidRPr="00663E53" w:rsidRDefault="00F007A9" w:rsidP="00F007A9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29C44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Rsqv9O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795B1EC1" w14:textId="77777777" w:rsidR="00F007A9" w:rsidRPr="00663E53" w:rsidRDefault="00F007A9" w:rsidP="00F007A9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7A9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622EA" wp14:editId="08063E68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697062" w14:textId="77777777" w:rsidR="00F007A9" w:rsidRPr="00895522" w:rsidRDefault="00F007A9" w:rsidP="00F007A9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622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56697062" w14:textId="77777777" w:rsidR="00F007A9" w:rsidRPr="00895522" w:rsidRDefault="00F007A9" w:rsidP="00F007A9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F007A9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4D5A0" wp14:editId="52D43DA8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7D2F42" w14:textId="77777777" w:rsidR="00F007A9" w:rsidRPr="00FB3238" w:rsidRDefault="00F007A9" w:rsidP="00F007A9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4D5A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4B7D2F42" w14:textId="77777777" w:rsidR="00F007A9" w:rsidRPr="00FB3238" w:rsidRDefault="00F007A9" w:rsidP="00F007A9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="00F007A9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E2A7A" wp14:editId="58C058FE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12464CF3" w14:textId="77777777" w:rsidR="00F007A9" w:rsidRPr="00FB3238" w:rsidRDefault="00F007A9" w:rsidP="00F007A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2A7A"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12464CF3" w14:textId="77777777" w:rsidR="00F007A9" w:rsidRPr="00FB3238" w:rsidRDefault="00F007A9" w:rsidP="00F007A9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F007A9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2FDD5" wp14:editId="6770D45B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9DC2FF1" w14:textId="77777777" w:rsidR="00F007A9" w:rsidRPr="00FB3238" w:rsidRDefault="00F007A9" w:rsidP="00F007A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FDD5"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39DC2FF1" w14:textId="77777777" w:rsidR="00F007A9" w:rsidRPr="00FB3238" w:rsidRDefault="00F007A9" w:rsidP="00F007A9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F007A9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7C739654" w14:textId="59147CBD" w:rsidR="00F007A9" w:rsidRPr="00F007A9" w:rsidRDefault="00F007A9" w:rsidP="00F007A9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F8A30" wp14:editId="13B53931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BFB88D5" w14:textId="77777777" w:rsidR="00F007A9" w:rsidRPr="00FB3238" w:rsidRDefault="00F007A9" w:rsidP="00F007A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8A30"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4BFB88D5" w14:textId="77777777" w:rsidR="00F007A9" w:rsidRPr="00FB3238" w:rsidRDefault="00F007A9" w:rsidP="00F007A9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FD9E7" wp14:editId="3A37493C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143689F" w14:textId="77777777" w:rsidR="00F007A9" w:rsidRPr="00FB3238" w:rsidRDefault="00F007A9" w:rsidP="00F007A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D9E7"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7143689F" w14:textId="77777777" w:rsidR="00F007A9" w:rsidRPr="00FB3238" w:rsidRDefault="00F007A9" w:rsidP="00F007A9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1.7</w:t>
      </w:r>
    </w:p>
    <w:sectPr w:rsidR="00F007A9" w:rsidRPr="00F007A9" w:rsidSect="00F007A9">
      <w:footerReference w:type="default" r:id="rId14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213C9" w14:textId="77777777" w:rsidR="00F576FC" w:rsidRDefault="00F576FC" w:rsidP="009B6E81">
      <w:r>
        <w:separator/>
      </w:r>
    </w:p>
    <w:p w14:paraId="312DCDF4" w14:textId="77777777" w:rsidR="00F576FC" w:rsidRDefault="00F576FC"/>
  </w:endnote>
  <w:endnote w:type="continuationSeparator" w:id="0">
    <w:p w14:paraId="2E85E0BE" w14:textId="77777777" w:rsidR="00F576FC" w:rsidRDefault="00F576FC" w:rsidP="009B6E81">
      <w:r>
        <w:continuationSeparator/>
      </w:r>
    </w:p>
    <w:p w14:paraId="610B9A6F" w14:textId="77777777" w:rsidR="00F576FC" w:rsidRDefault="00F57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4D98DD6E" w:rsidR="00DD0461" w:rsidRPr="00DD0461" w:rsidRDefault="00DD0461" w:rsidP="00FE2DC0">
    <w:pPr>
      <w:spacing w:line="276" w:lineRule="auto"/>
      <w:ind w:right="-108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09C72" w14:textId="77777777" w:rsidR="00F576FC" w:rsidRDefault="00F576FC" w:rsidP="009B6E81">
      <w:r>
        <w:separator/>
      </w:r>
    </w:p>
    <w:p w14:paraId="00CE81A2" w14:textId="77777777" w:rsidR="00F576FC" w:rsidRDefault="00F576FC"/>
  </w:footnote>
  <w:footnote w:type="continuationSeparator" w:id="0">
    <w:p w14:paraId="4919104D" w14:textId="77777777" w:rsidR="00F576FC" w:rsidRDefault="00F576FC" w:rsidP="009B6E81">
      <w:r>
        <w:continuationSeparator/>
      </w:r>
    </w:p>
    <w:p w14:paraId="61932554" w14:textId="77777777" w:rsidR="00F576FC" w:rsidRDefault="00F576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CD2A98"/>
    <w:multiLevelType w:val="hybridMultilevel"/>
    <w:tmpl w:val="A2925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7434D2"/>
    <w:multiLevelType w:val="hybridMultilevel"/>
    <w:tmpl w:val="26FE4C40"/>
    <w:lvl w:ilvl="0" w:tplc="4FDC1008">
      <w:numFmt w:val="bullet"/>
      <w:lvlText w:val="•"/>
      <w:lvlJc w:val="left"/>
      <w:pPr>
        <w:ind w:left="819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3" w15:restartNumberingAfterBreak="0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4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24"/>
  </w:num>
  <w:num w:numId="8">
    <w:abstractNumId w:val="10"/>
  </w:num>
  <w:num w:numId="9">
    <w:abstractNumId w:val="19"/>
  </w:num>
  <w:num w:numId="10">
    <w:abstractNumId w:val="12"/>
  </w:num>
  <w:num w:numId="11">
    <w:abstractNumId w:val="17"/>
  </w:num>
  <w:num w:numId="12">
    <w:abstractNumId w:val="18"/>
  </w:num>
  <w:num w:numId="13">
    <w:abstractNumId w:val="26"/>
  </w:num>
  <w:num w:numId="14">
    <w:abstractNumId w:val="9"/>
  </w:num>
  <w:num w:numId="15">
    <w:abstractNumId w:val="1"/>
  </w:num>
  <w:num w:numId="16">
    <w:abstractNumId w:val="2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22"/>
  </w:num>
  <w:num w:numId="25">
    <w:abstractNumId w:val="7"/>
  </w:num>
  <w:num w:numId="26">
    <w:abstractNumId w:val="27"/>
  </w:num>
  <w:num w:numId="27">
    <w:abstractNumId w:val="11"/>
  </w:num>
  <w:num w:numId="28">
    <w:abstractNumId w:val="15"/>
  </w:num>
  <w:num w:numId="29">
    <w:abstractNumId w:val="21"/>
  </w:num>
  <w:num w:numId="30">
    <w:abstractNumId w:val="13"/>
  </w:num>
  <w:num w:numId="31">
    <w:abstractNumId w:val="23"/>
  </w:num>
  <w:num w:numId="32">
    <w:abstractNumId w:val="2"/>
  </w:num>
  <w:num w:numId="33">
    <w:abstractNumId w:val="5"/>
  </w:num>
  <w:num w:numId="3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3D38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9189E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655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2A85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25ACC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41BD9"/>
    <w:rsid w:val="00746C5D"/>
    <w:rsid w:val="0075449C"/>
    <w:rsid w:val="007640E9"/>
    <w:rsid w:val="0076740E"/>
    <w:rsid w:val="00782473"/>
    <w:rsid w:val="00784E71"/>
    <w:rsid w:val="0078695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C718A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49F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6E8"/>
    <w:rsid w:val="009A18A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101CE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89E"/>
    <w:rsid w:val="00C65962"/>
    <w:rsid w:val="00C7213D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075BE"/>
    <w:rsid w:val="00D156AA"/>
    <w:rsid w:val="00D20CC5"/>
    <w:rsid w:val="00D250D0"/>
    <w:rsid w:val="00D26D32"/>
    <w:rsid w:val="00D27609"/>
    <w:rsid w:val="00D435A1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DF5BF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1904"/>
    <w:rsid w:val="00E93B5C"/>
    <w:rsid w:val="00E94EA6"/>
    <w:rsid w:val="00E9551B"/>
    <w:rsid w:val="00EA00C8"/>
    <w:rsid w:val="00EA0979"/>
    <w:rsid w:val="00EA4E21"/>
    <w:rsid w:val="00EA4F0E"/>
    <w:rsid w:val="00EB387B"/>
    <w:rsid w:val="00EB5F66"/>
    <w:rsid w:val="00EB6406"/>
    <w:rsid w:val="00EC0C09"/>
    <w:rsid w:val="00EC12D8"/>
    <w:rsid w:val="00ED0330"/>
    <w:rsid w:val="00ED0BD9"/>
    <w:rsid w:val="00ED3529"/>
    <w:rsid w:val="00EE5A0A"/>
    <w:rsid w:val="00EE5FFB"/>
    <w:rsid w:val="00EF1A2D"/>
    <w:rsid w:val="00EF42E1"/>
    <w:rsid w:val="00F007A9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576FC"/>
    <w:rsid w:val="00F60007"/>
    <w:rsid w:val="00F6645F"/>
    <w:rsid w:val="00F66DBD"/>
    <w:rsid w:val="00F67B8C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B9264"/>
  <w15:docId w15:val="{D15314D5-392F-4ABB-A6D7-8CBEFF7B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JORFTEXT000020237827&amp;categorieLien=id" TargetMode="External"/><Relationship Id="rId13" Type="http://schemas.openxmlformats.org/officeDocument/2006/relationships/image" Target="file:///C:\Users\Utilisateur\Pictures\qualeduc\visuel_Qualeduc_4_violet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scol.education.fr/cid133260/transformer-le-lycee-professionne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uv.fr/bo/19/Hebdo12/MENE1905963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bo/19/Hebdo1/MENE1831834A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A4B18-BA6D-4635-8ACC-963A4448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lboursicot</cp:lastModifiedBy>
  <cp:revision>2</cp:revision>
  <cp:lastPrinted>2020-08-11T13:08:00Z</cp:lastPrinted>
  <dcterms:created xsi:type="dcterms:W3CDTF">2021-06-10T09:03:00Z</dcterms:created>
  <dcterms:modified xsi:type="dcterms:W3CDTF">2021-06-10T09:03:00Z</dcterms:modified>
</cp:coreProperties>
</file>