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u w:val="single"/>
          <w:rtl w:val="0"/>
        </w:rPr>
        <w:t xml:space="preserve">Le sujet et le corrigé sont à titre indicatif. Vous pouvez les adapter à vos attentes, vos exigences et votre progression pédagogique.</w:t>
      </w:r>
      <w:r w:rsidDel="00000000" w:rsidR="00000000" w:rsidRPr="00000000">
        <w:rPr>
          <w:rtl w:val="0"/>
        </w:rPr>
      </w:r>
    </w:p>
    <w:tbl>
      <w:tblPr>
        <w:tblStyle w:val="Table1"/>
        <w:tblW w:w="9456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331"/>
        <w:gridCol w:w="6125"/>
        <w:tblGridChange w:id="0">
          <w:tblGrid>
            <w:gridCol w:w="3331"/>
            <w:gridCol w:w="61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ind w:left="0" w:right="0" w:firstLine="0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Nom du sujet : KUSMI TEA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Place dans la progression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 d’année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Durée du devoir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Thème(s) étudié(s)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before="10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Thème 1 : De l'individu à l'acteur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10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Thème 3 : Création de valeur et performance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10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Thème 3 : Temps et risque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Capacités et notions évaluées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Caractériser les comportements individuels au sein des groupes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 : attitude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Identifier les indicateurs pertinents pour apprécier la performance de l’organisation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Performance commerciale : chiffre d’affaires, part de marché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Utiliser des données prospectives pour repérer l’incidence d’une évolution de l’activité d’une organisation sur son résultat (seuil de rentabilité)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Prospective en matière d’activités : seuil de rentabilité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Barème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Q1, 3 et 4 : 4 points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Q2 : 2 pts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 5 : 6 pts 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Voir détail sur le corrigé 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76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Corrigé Kusmi Tea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1- Identifiez les composantes de l'attitude du consommateur de thé. (annexe 1) </w:t>
      </w:r>
      <w:r w:rsidDel="00000000" w:rsidR="00000000" w:rsidRPr="00000000">
        <w:rPr>
          <w:color w:val="ff0000"/>
          <w:rtl w:val="0"/>
        </w:rPr>
        <w:t xml:space="preserve">4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(th1 Q2 : caractériser les comportements individuels au sein des groupes )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rtl w:val="0"/>
        </w:rPr>
        <w:t xml:space="preserve">Attitude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u w:val="single"/>
          <w:rtl w:val="0"/>
        </w:rPr>
        <w:t xml:space="preserve">Cognitive : </w:t>
      </w:r>
      <w:r w:rsidDel="00000000" w:rsidR="00000000" w:rsidRPr="00000000">
        <w:rPr>
          <w:rFonts w:ascii="ArialMT" w:cs="ArialMT" w:eastAsia="ArialMT" w:hAnsi="ArialMT"/>
          <w:color w:val="c9211e"/>
          <w:sz w:val="22"/>
          <w:szCs w:val="22"/>
          <w:u w:val="single"/>
          <w:rtl w:val="0"/>
        </w:rPr>
        <w:t xml:space="preserve">2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Courier" w:cs="Courier" w:eastAsia="Courier" w:hAnsi="Courier"/>
          <w:color w:val="004586"/>
          <w:sz w:val="22"/>
          <w:szCs w:val="22"/>
          <w:rtl w:val="0"/>
        </w:rPr>
        <w:t xml:space="preserve">* </w:t>
      </w: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rtl w:val="0"/>
        </w:rPr>
        <w:t xml:space="preserve">Le thé est considéré comme bon pour la santé (faire du bien à son corps).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Courier" w:cs="Courier" w:eastAsia="Courier" w:hAnsi="Courier"/>
          <w:color w:val="004586"/>
          <w:sz w:val="22"/>
          <w:szCs w:val="22"/>
          <w:rtl w:val="0"/>
        </w:rPr>
        <w:t xml:space="preserve">* </w:t>
      </w: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rtl w:val="0"/>
        </w:rPr>
        <w:t xml:space="preserve">La présence d’antioxydants aide à lutter contre le vieillissement.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Courier" w:cs="Courier" w:eastAsia="Courier" w:hAnsi="Courier"/>
          <w:color w:val="004586"/>
          <w:sz w:val="22"/>
          <w:szCs w:val="22"/>
          <w:rtl w:val="0"/>
        </w:rPr>
        <w:t xml:space="preserve">* </w:t>
      </w: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rtl w:val="0"/>
        </w:rPr>
        <w:t xml:space="preserve">Les consommateurs sont désireux de saveurs variées.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MT" w:cs="ArialMT" w:eastAsia="ArialMT" w:hAnsi="ArialMT"/>
          <w:color w:val="00458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u w:val="single"/>
          <w:rtl w:val="0"/>
        </w:rPr>
        <w:t xml:space="preserve">Conative</w:t>
      </w: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rtl w:val="0"/>
        </w:rPr>
        <w:t xml:space="preserve"> : La consommation de thé répond aux préoccupations des Français qui cherchent 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MT" w:cs="ArialMT" w:eastAsia="ArialMT" w:hAnsi="ArialMT"/>
          <w:color w:val="004586"/>
          <w:sz w:val="22"/>
          <w:szCs w:val="22"/>
          <w:rtl w:val="0"/>
        </w:rPr>
        <w:t xml:space="preserve">produits sains, naturels, bienfaisants et bons. </w:t>
      </w:r>
      <w:r w:rsidDel="00000000" w:rsidR="00000000" w:rsidRPr="00000000">
        <w:rPr>
          <w:rFonts w:ascii="ArialMT" w:cs="ArialMT" w:eastAsia="ArialMT" w:hAnsi="ArialMT"/>
          <w:color w:val="c9211e"/>
          <w:sz w:val="22"/>
          <w:szCs w:val="22"/>
          <w:rtl w:val="0"/>
        </w:rPr>
        <w:t xml:space="preserve">2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2- Calculez les parts de marchés des acteurs du marché du thé, (annexe 2) .Présentez votre réponse sous forme d'un tableau en justifiant un de vos calculs. </w:t>
      </w:r>
      <w:r w:rsidDel="00000000" w:rsidR="00000000" w:rsidRPr="00000000">
        <w:rPr>
          <w:color w:val="c9211e"/>
          <w:rtl w:val="0"/>
        </w:rPr>
        <w:t xml:space="preserve">2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(Th3 – Q2 - identifier les indicateurs pertinents pour apprécier la performance de l’organisation)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00.0" w:type="dxa"/>
        <w:jc w:val="left"/>
        <w:tblInd w:w="-5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12"/>
        <w:gridCol w:w="2353"/>
        <w:gridCol w:w="3135"/>
        <w:tblGridChange w:id="0">
          <w:tblGrid>
            <w:gridCol w:w="3212"/>
            <w:gridCol w:w="2353"/>
            <w:gridCol w:w="3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Entreprises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Chiffre d'affaires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Parts de marché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Mariages frères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4,74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 Global Beverages (Tetley)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102,3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19,56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Kusmi Tea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9,94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Dammann Frères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5,98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Univeler (Lipton)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22,94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Food International (Twinings)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104,7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16,82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523,1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45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100,00%</w:t>
            </w:r>
          </w:p>
        </w:tc>
      </w:tr>
    </w:tbl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color w:val="3465a4"/>
        </w:rPr>
      </w:pPr>
      <w:r w:rsidDel="00000000" w:rsidR="00000000" w:rsidRPr="00000000">
        <w:rPr>
          <w:color w:val="3465a4"/>
          <w:rtl w:val="0"/>
        </w:rPr>
        <w:t xml:space="preserve">justification : (24/8 / 523,10) * 100 = 4,74  </w:t>
      </w:r>
      <w:r w:rsidDel="00000000" w:rsidR="00000000" w:rsidRPr="00000000">
        <w:rPr>
          <w:color w:val="c9211e"/>
          <w:rtl w:val="0"/>
        </w:rPr>
        <w:t xml:space="preserve">1 pt </w:t>
      </w:r>
      <w:r w:rsidDel="00000000" w:rsidR="00000000" w:rsidRPr="00000000">
        <w:rPr>
          <w:color w:val="ff0000"/>
          <w:rtl w:val="0"/>
        </w:rPr>
        <w:t xml:space="preserve"> + 1 pt pour le tableau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color w:val="3465a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3- A partir de votre réponse précédente, déterminez leur position concurrentielle. </w:t>
      </w:r>
      <w:r w:rsidDel="00000000" w:rsidR="00000000" w:rsidRPr="00000000">
        <w:rPr>
          <w:color w:val="ff0000"/>
          <w:rtl w:val="0"/>
        </w:rPr>
        <w:t xml:space="preserve">4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(Th3 – Q2 - identifier les indicateurs pertinents pour apprécier la performance de l’organisation)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Fonts w:ascii="Teko" w:cs="Teko" w:eastAsia="Teko" w:hAnsi="Teko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4586"/>
          <w:sz w:val="22"/>
          <w:szCs w:val="22"/>
          <w:rtl w:val="0"/>
        </w:rPr>
        <w:t xml:space="preserve">e marché est fortement concurrentiel et il est dominé par 3 grands groupes (Unilever, Foods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00458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4586"/>
          <w:sz w:val="22"/>
          <w:szCs w:val="22"/>
          <w:rtl w:val="0"/>
        </w:rPr>
        <w:t xml:space="preserve">international et Tata Global Beverages) qui, à eux seuls, représentent 62,5 % du marché.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Arial" w:cs="Arial" w:eastAsia="Arial" w:hAnsi="Arial"/>
          <w:color w:val="004586"/>
          <w:sz w:val="22"/>
          <w:szCs w:val="22"/>
          <w:rtl w:val="0"/>
        </w:rPr>
        <w:t xml:space="preserve">Unilever avec sa marque Lipton est le</w:t>
      </w:r>
      <w:r w:rsidDel="00000000" w:rsidR="00000000" w:rsidRPr="00000000">
        <w:rPr>
          <w:rFonts w:ascii="Arial" w:cs="Arial" w:eastAsia="Arial" w:hAnsi="Arial"/>
          <w:color w:val="ff3333"/>
          <w:sz w:val="22"/>
          <w:szCs w:val="22"/>
          <w:rtl w:val="0"/>
        </w:rPr>
        <w:t xml:space="preserve"> leader</w:t>
      </w:r>
      <w:r w:rsidDel="00000000" w:rsidR="00000000" w:rsidRPr="00000000">
        <w:rPr>
          <w:rFonts w:ascii="Arial" w:cs="Arial" w:eastAsia="Arial" w:hAnsi="Arial"/>
          <w:color w:val="004586"/>
          <w:sz w:val="22"/>
          <w:szCs w:val="22"/>
          <w:rtl w:val="0"/>
        </w:rPr>
        <w:t xml:space="preserve"> (22,94 % de PDM) suivi de très près par ses </w:t>
      </w:r>
      <w:r w:rsidDel="00000000" w:rsidR="00000000" w:rsidRPr="00000000">
        <w:rPr>
          <w:rFonts w:ascii="Arial" w:cs="Arial" w:eastAsia="Arial" w:hAnsi="Arial"/>
          <w:color w:val="ff3333"/>
          <w:sz w:val="22"/>
          <w:szCs w:val="22"/>
          <w:rtl w:val="0"/>
        </w:rPr>
        <w:t xml:space="preserve">challengers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00458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4586"/>
          <w:sz w:val="22"/>
          <w:szCs w:val="22"/>
          <w:rtl w:val="0"/>
        </w:rPr>
        <w:t xml:space="preserve">Foods international avec sa marque Twinings (20,02 % de PDM) et Tata Global Beverages avec sa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00458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4586"/>
          <w:sz w:val="22"/>
          <w:szCs w:val="22"/>
          <w:rtl w:val="0"/>
        </w:rPr>
        <w:t xml:space="preserve">marque Tetley (19,56 % de PDM).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" w:cs="Arial" w:eastAsia="Arial" w:hAnsi="Arial"/>
          <w:color w:val="004586"/>
          <w:sz w:val="22"/>
          <w:szCs w:val="22"/>
          <w:rtl w:val="0"/>
        </w:rPr>
        <w:t xml:space="preserve">Kusmi Tea est un </w:t>
      </w:r>
      <w:r w:rsidDel="00000000" w:rsidR="00000000" w:rsidRPr="00000000">
        <w:rPr>
          <w:rFonts w:ascii="Arial" w:cs="Arial" w:eastAsia="Arial" w:hAnsi="Arial"/>
          <w:color w:val="ff3333"/>
          <w:sz w:val="22"/>
          <w:szCs w:val="22"/>
          <w:rtl w:val="0"/>
        </w:rPr>
        <w:t xml:space="preserve">suiveur</w:t>
      </w:r>
      <w:r w:rsidDel="00000000" w:rsidR="00000000" w:rsidRPr="00000000">
        <w:rPr>
          <w:rFonts w:ascii="Arial" w:cs="Arial" w:eastAsia="Arial" w:hAnsi="Arial"/>
          <w:color w:val="004586"/>
          <w:sz w:val="22"/>
          <w:szCs w:val="22"/>
          <w:rtl w:val="0"/>
        </w:rPr>
        <w:t xml:space="preserve"> avec 9,94 %de PDM.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Notions de </w:t>
      </w:r>
      <w:r w:rsidDel="00000000" w:rsidR="00000000" w:rsidRPr="00000000">
        <w:rPr>
          <w:color w:val="ff0000"/>
          <w:u w:val="single"/>
          <w:rtl w:val="0"/>
        </w:rPr>
        <w:t xml:space="preserve">leader, challengers et suiveurs</w:t>
      </w:r>
      <w:r w:rsidDel="00000000" w:rsidR="00000000" w:rsidRPr="00000000">
        <w:rPr>
          <w:color w:val="ff0000"/>
          <w:rtl w:val="0"/>
        </w:rPr>
        <w:t xml:space="preserve">  = 1,5 pts </w:t>
      </w:r>
    </w:p>
    <w:p w:rsidR="00000000" w:rsidDel="00000000" w:rsidP="00000000" w:rsidRDefault="00000000" w:rsidRPr="00000000" w14:paraId="00000057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3 grands groupes dominent le marché : 1,5 pts</w:t>
      </w:r>
    </w:p>
    <w:p w:rsidR="00000000" w:rsidDel="00000000" w:rsidP="00000000" w:rsidRDefault="00000000" w:rsidRPr="00000000" w14:paraId="00000058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4- Analysez les ventes de Kusmi Tea en présentant les taux d'évolution  (annexe 3) </w:t>
      </w:r>
      <w:r w:rsidDel="00000000" w:rsidR="00000000" w:rsidRPr="00000000">
        <w:rPr>
          <w:color w:val="ff0000"/>
          <w:rtl w:val="0"/>
        </w:rPr>
        <w:t xml:space="preserve">4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(Th3 – Q2 - identifier les indicateurs pertinents pour apprécier la performance de l’organisation)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Ind w:w="-6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606"/>
        <w:gridCol w:w="1606"/>
        <w:gridCol w:w="1607"/>
        <w:gridCol w:w="1256"/>
        <w:gridCol w:w="1575"/>
        <w:gridCol w:w="1470"/>
        <w:tblGridChange w:id="0">
          <w:tblGrid>
            <w:gridCol w:w="1606"/>
            <w:gridCol w:w="1606"/>
            <w:gridCol w:w="1607"/>
            <w:gridCol w:w="1256"/>
            <w:gridCol w:w="1575"/>
            <w:gridCol w:w="14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Années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Chiffre d'affaires (en millions d'euro)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Taux d'évolution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18,20%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15,40%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15,60%</w:t>
            </w:r>
          </w:p>
        </w:tc>
      </w:tr>
    </w:tbl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Présentation d'un calcul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color w:val="0066cc"/>
        </w:rPr>
      </w:pPr>
      <w:r w:rsidDel="00000000" w:rsidR="00000000" w:rsidRPr="00000000">
        <w:rPr>
          <w:color w:val="0066cc"/>
          <w:rtl w:val="0"/>
        </w:rPr>
        <w:t xml:space="preserve">pour 2019 : ((33-25)/25 )*100 = 32 % </w:t>
      </w:r>
      <w:r w:rsidDel="00000000" w:rsidR="00000000" w:rsidRPr="00000000">
        <w:rPr>
          <w:color w:val="ff0000"/>
          <w:rtl w:val="0"/>
        </w:rPr>
        <w:t xml:space="preserve">1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Analyse  1 pt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ArialMT" w:cs="ArialMT" w:eastAsia="ArialMT" w:hAnsi="ArialMT"/>
          <w:color w:val="0066cc"/>
          <w:sz w:val="22"/>
          <w:szCs w:val="22"/>
          <w:rtl w:val="0"/>
        </w:rPr>
        <w:t xml:space="preserve">On constate depuis 4 ans une forte croissance des ventes (de 32 % en 2019 à 15,6 % en 2022). Le rythme de cette croissance se stabilise depuis 2021 (autour de 15,5 % par an).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MT" w:cs="ArialMT" w:eastAsia="ArialMT" w:hAnsi="ArialMT"/>
          <w:color w:val="ff0000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color w:val="ff0000"/>
          <w:sz w:val="22"/>
          <w:szCs w:val="22"/>
          <w:rtl w:val="0"/>
        </w:rPr>
        <w:t xml:space="preserve">Justification de la hausse 1 pt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Fonts w:ascii="ArialMT" w:cs="ArialMT" w:eastAsia="ArialMT" w:hAnsi="ArialMT"/>
          <w:color w:val="0066cc"/>
          <w:sz w:val="22"/>
          <w:szCs w:val="22"/>
          <w:rtl w:val="0"/>
        </w:rPr>
        <w:t xml:space="preserve">Cette hausse peut s’expliquer par l’engouement des consommateurs sur le marché du thé.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5- Déterminez le chiffre d’affaires annuel à réaliser pour rentabiliser l’implantation d’un Kusmikiosk. (annexe 4) </w:t>
      </w:r>
      <w:r w:rsidDel="00000000" w:rsidR="00000000" w:rsidRPr="00000000">
        <w:rPr>
          <w:color w:val="c9211e"/>
          <w:rtl w:val="0"/>
        </w:rPr>
        <w:t xml:space="preserve">6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(Th3 – Q2 - identifier les indicateurs pertinents pour apprécier la performance de l’organisation + th4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Q9 - utiliser des données prospectives pour repérer l’incidence d’une évolution de l’activité d’une organisation sur son résultat (seuil de rentabilité)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0066cc"/>
        </w:rPr>
      </w:pPr>
      <w:r w:rsidDel="00000000" w:rsidR="00000000" w:rsidRPr="00000000">
        <w:rPr>
          <w:color w:val="0066cc"/>
          <w:rtl w:val="0"/>
        </w:rPr>
        <w:t xml:space="preserve">Compte de résultat différentiel</w:t>
      </w:r>
    </w:p>
    <w:tbl>
      <w:tblPr>
        <w:tblStyle w:val="Table4"/>
        <w:tblW w:w="9015.0" w:type="dxa"/>
        <w:jc w:val="left"/>
        <w:tblInd w:w="-5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12"/>
        <w:gridCol w:w="1963"/>
        <w:gridCol w:w="1920"/>
        <w:gridCol w:w="1920"/>
        <w:tblGridChange w:id="0">
          <w:tblGrid>
            <w:gridCol w:w="3212"/>
            <w:gridCol w:w="1963"/>
            <w:gridCol w:w="1920"/>
            <w:gridCol w:w="1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*3 400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61 200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Charges variables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61 200  *0,62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37 944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Marge sur coût variable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23 256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pt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TMCV = 38 %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pt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cc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Charges fixes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 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acquisition du k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coût du distributeur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technicien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approvisionneur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2 000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2 300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 *12 = 720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20 * 12 = 2 640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7 660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résultat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15 596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SR en valeur = CV/TMCV = 7 660 / 0.38 = 20 157.90 €  </w:t>
      </w:r>
      <w:r w:rsidDel="00000000" w:rsidR="00000000" w:rsidRPr="00000000">
        <w:rPr>
          <w:color w:val="c9211e"/>
          <w:rtl w:val="0"/>
        </w:rPr>
        <w:t xml:space="preserve">1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color w:val="0070c0"/>
          <w:rtl w:val="0"/>
        </w:rPr>
        <w:t xml:space="preserve">L’entreprise commence à dégager un bénéfice lorsque le chiffre d’affaires annuel du distributeur automatique dépasse 20157.90 € soit 1120 boites (20 157.90 / 18) </w:t>
      </w:r>
      <w:r w:rsidDel="00000000" w:rsidR="00000000" w:rsidRPr="00000000">
        <w:rPr>
          <w:color w:val="c9211e"/>
          <w:rtl w:val="0"/>
        </w:rPr>
        <w:t xml:space="preserve">1 pt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Teko">
    <w:embedRegular w:fontKey="{00000000-0000-0000-0000-000000000000}" r:id="rId1" w:subsetted="0"/>
    <w:embedBold w:fontKey="{00000000-0000-0000-0000-000000000000}" r:id="rId2" w:subsetted="0"/>
  </w:font>
  <w:font w:name="ArialMT"/>
  <w:font w:name="Noto Sans Symbols">
    <w:embedRegular w:fontKey="{00000000-0000-0000-0000-000000000000}" r:id="rId3" w:subsetted="0"/>
    <w:embedBold w:fontKey="{00000000-0000-0000-0000-000000000000}" r:id="rId4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