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0" w:line="25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u w:val="single"/>
          <w:rtl w:val="0"/>
        </w:rPr>
        <w:t xml:space="preserve">Le sujet et le corrigé sont à titre indicatif. Vous pouvez les adapter à vos attentes, vos exigences et votre progression pédagogique.</w:t>
      </w:r>
      <w:r w:rsidDel="00000000" w:rsidR="00000000" w:rsidRPr="00000000">
        <w:rPr>
          <w:rtl w:val="0"/>
        </w:rPr>
      </w:r>
    </w:p>
    <w:tbl>
      <w:tblPr>
        <w:tblStyle w:val="Table1"/>
        <w:tblW w:w="9456.0" w:type="dxa"/>
        <w:jc w:val="left"/>
        <w:tblInd w:w="-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31"/>
        <w:gridCol w:w="6125"/>
        <w:tblGridChange w:id="0">
          <w:tblGrid>
            <w:gridCol w:w="3331"/>
            <w:gridCol w:w="61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Nom du sujet : KUSMI TEA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Place dans la progression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 d’année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Durée du devoir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Thème(s) étudié(s)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10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Thème 1 : De l'individu à l'acteur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10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Thème 3 : Création de valeur et performance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10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Thème 3 : Temps et risque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Capacités et notions évaluées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Caractériser les comportements individuels au sein des groupes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 : attitude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Identifier les indicateurs pertinents pour apprécier la performance de l’organisation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Performance commerciale : chiffre d’affaires, part de marché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Utiliser des données prospectives pour repérer l’incidence d’une évolution de l’activité d’une organisation sur son résultat (seuil de rentabilité)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Prospective en matière d’activités : seuil de rentabilité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Barème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Q1, 3 et 4 : 4 points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Q2 : 2 pts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 5 : 6 pts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Voir détail sur le corrigé 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Corrigé Kusmi Tea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1- Identifiez les composantes de l'attitude du consommateur de thé. (annexe 1) </w:t>
      </w:r>
      <w:r w:rsidDel="00000000" w:rsidR="00000000" w:rsidRPr="00000000">
        <w:rPr>
          <w:color w:val="ff0000"/>
          <w:rtl w:val="0"/>
        </w:rPr>
        <w:t xml:space="preserve">4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(th1 Q2 : caractériser les comportements individuels au sein des groupes )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Attitude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u w:val="single"/>
          <w:rtl w:val="0"/>
        </w:rPr>
        <w:t xml:space="preserve">Cognitive : </w:t>
      </w:r>
      <w:r w:rsidDel="00000000" w:rsidR="00000000" w:rsidRPr="00000000">
        <w:rPr>
          <w:rFonts w:ascii="ArialMT" w:cs="ArialMT" w:eastAsia="ArialMT" w:hAnsi="ArialMT"/>
          <w:color w:val="c9211e"/>
          <w:sz w:val="22"/>
          <w:szCs w:val="22"/>
          <w:u w:val="single"/>
          <w:rtl w:val="0"/>
        </w:rPr>
        <w:t xml:space="preserve">2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Courier" w:cs="Courier" w:eastAsia="Courier" w:hAnsi="Courier"/>
          <w:color w:val="004586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Le thé est considéré comme bon pour la santé (faire du bien à son corps).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Courier" w:cs="Courier" w:eastAsia="Courier" w:hAnsi="Courier"/>
          <w:color w:val="004586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La présence d’antioxydants aide à lutter contre le vieillissement.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Courier" w:cs="Courier" w:eastAsia="Courier" w:hAnsi="Courier"/>
          <w:color w:val="004586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Les consommateurs sont désireux de saveurs variées.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MT" w:cs="ArialMT" w:eastAsia="ArialMT" w:hAnsi="ArialMT"/>
          <w:color w:val="00458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u w:val="single"/>
          <w:rtl w:val="0"/>
        </w:rPr>
        <w:t xml:space="preserve">Conative</w:t>
      </w: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 : La consommation de thé répond aux préoccupations des Français qui cherchent 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MT" w:cs="ArialMT" w:eastAsia="ArialMT" w:hAnsi="ArialMT"/>
          <w:color w:val="004586"/>
          <w:sz w:val="22"/>
          <w:szCs w:val="22"/>
          <w:rtl w:val="0"/>
        </w:rPr>
        <w:t xml:space="preserve">produits sains, naturels, bienfaisants et bons. </w:t>
      </w:r>
      <w:r w:rsidDel="00000000" w:rsidR="00000000" w:rsidRPr="00000000">
        <w:rPr>
          <w:rFonts w:ascii="ArialMT" w:cs="ArialMT" w:eastAsia="ArialMT" w:hAnsi="ArialMT"/>
          <w:color w:val="c9211e"/>
          <w:sz w:val="22"/>
          <w:szCs w:val="22"/>
          <w:rtl w:val="0"/>
        </w:rPr>
        <w:t xml:space="preserve">2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2- Calculez les parts de marchés des acteurs du marché du thé, (annexe 2) .Présentez votre réponse sous forme d'un tableau en justifiant un de vos calculs. </w:t>
      </w:r>
      <w:r w:rsidDel="00000000" w:rsidR="00000000" w:rsidRPr="00000000">
        <w:rPr>
          <w:color w:val="c9211e"/>
          <w:rtl w:val="0"/>
        </w:rPr>
        <w:t xml:space="preserve">2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(Th3 – Q2 - identifier les indicateurs pertinents pour apprécier la performance de l’organisation)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00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2353"/>
        <w:gridCol w:w="3135"/>
        <w:tblGridChange w:id="0">
          <w:tblGrid>
            <w:gridCol w:w="3212"/>
            <w:gridCol w:w="2353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Entreprises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Chiffre d'affaires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Parts de marché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Mariages frères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4,74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 Global Beverages (Tetley)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102,3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19,56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Kusmi Tea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9,94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Dammann Frères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5,98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Univeler (Lipton)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22,94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International (Twinings)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104,7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16,82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523,1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458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100,00%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color w:val="3465a4"/>
        </w:rPr>
      </w:pPr>
      <w:r w:rsidDel="00000000" w:rsidR="00000000" w:rsidRPr="00000000">
        <w:rPr>
          <w:color w:val="3465a4"/>
          <w:rtl w:val="0"/>
        </w:rPr>
        <w:t xml:space="preserve">justification : (24/8 / 523,10) * 100 = 4,74  </w:t>
      </w:r>
      <w:r w:rsidDel="00000000" w:rsidR="00000000" w:rsidRPr="00000000">
        <w:rPr>
          <w:color w:val="c9211e"/>
          <w:rtl w:val="0"/>
        </w:rPr>
        <w:t xml:space="preserve">1 pt </w:t>
      </w:r>
      <w:r w:rsidDel="00000000" w:rsidR="00000000" w:rsidRPr="00000000">
        <w:rPr>
          <w:color w:val="ff0000"/>
          <w:rtl w:val="0"/>
        </w:rPr>
        <w:t xml:space="preserve"> + 1 pt pour le tableau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color w:val="3465a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3- A partir de votre réponse précédente, déterminez leur position concurrentielle. </w:t>
      </w:r>
      <w:r w:rsidDel="00000000" w:rsidR="00000000" w:rsidRPr="00000000">
        <w:rPr>
          <w:color w:val="ff0000"/>
          <w:rtl w:val="0"/>
        </w:rPr>
        <w:t xml:space="preserve">4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(Th3 – Q2 - identifier les indicateurs pertinents pour apprécier la performance de l’organisation)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Fonts w:ascii="Teko" w:cs="Teko" w:eastAsia="Teko" w:hAnsi="Teko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e marché est fortement concurrentiel et il est dominé par 3 grands groupes (Unilever, Foods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00458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international et Tata Global Beverages) qui, à eux seuls, représentent 62,5 % du marché.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Unilever avec sa marque Lipton est le</w:t>
      </w:r>
      <w:r w:rsidDel="00000000" w:rsidR="00000000" w:rsidRPr="00000000">
        <w:rPr>
          <w:rFonts w:ascii="Arial" w:cs="Arial" w:eastAsia="Arial" w:hAnsi="Arial"/>
          <w:color w:val="ff3333"/>
          <w:sz w:val="22"/>
          <w:szCs w:val="22"/>
          <w:rtl w:val="0"/>
        </w:rPr>
        <w:t xml:space="preserve"> leader</w:t>
      </w: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 (22,94 % de PDM) suivi de très près par ses </w:t>
      </w:r>
      <w:r w:rsidDel="00000000" w:rsidR="00000000" w:rsidRPr="00000000">
        <w:rPr>
          <w:rFonts w:ascii="Arial" w:cs="Arial" w:eastAsia="Arial" w:hAnsi="Arial"/>
          <w:color w:val="ff3333"/>
          <w:sz w:val="22"/>
          <w:szCs w:val="22"/>
          <w:rtl w:val="0"/>
        </w:rPr>
        <w:t xml:space="preserve">challengers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00458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Foods international avec sa marque Twinings (20,02 % de PDM) et Tata Global Beverages avec sa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color w:val="00458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marque Tetley (19,56 % de PDM).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Kusmi Tea est un </w:t>
      </w:r>
      <w:r w:rsidDel="00000000" w:rsidR="00000000" w:rsidRPr="00000000">
        <w:rPr>
          <w:rFonts w:ascii="Arial" w:cs="Arial" w:eastAsia="Arial" w:hAnsi="Arial"/>
          <w:color w:val="ff3333"/>
          <w:sz w:val="22"/>
          <w:szCs w:val="22"/>
          <w:rtl w:val="0"/>
        </w:rPr>
        <w:t xml:space="preserve">suiveur</w:t>
      </w:r>
      <w:r w:rsidDel="00000000" w:rsidR="00000000" w:rsidRPr="00000000">
        <w:rPr>
          <w:rFonts w:ascii="Arial" w:cs="Arial" w:eastAsia="Arial" w:hAnsi="Arial"/>
          <w:color w:val="004586"/>
          <w:sz w:val="22"/>
          <w:szCs w:val="22"/>
          <w:rtl w:val="0"/>
        </w:rPr>
        <w:t xml:space="preserve"> avec 9,94 %de PDM.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Notions de </w:t>
      </w:r>
      <w:r w:rsidDel="00000000" w:rsidR="00000000" w:rsidRPr="00000000">
        <w:rPr>
          <w:color w:val="ff0000"/>
          <w:u w:val="single"/>
          <w:rtl w:val="0"/>
        </w:rPr>
        <w:t xml:space="preserve">leader, challengers et suiveurs</w:t>
      </w:r>
      <w:r w:rsidDel="00000000" w:rsidR="00000000" w:rsidRPr="00000000">
        <w:rPr>
          <w:color w:val="ff0000"/>
          <w:rtl w:val="0"/>
        </w:rPr>
        <w:t xml:space="preserve">  = 1,5 pts </w:t>
      </w:r>
    </w:p>
    <w:p w:rsidR="00000000" w:rsidDel="00000000" w:rsidP="00000000" w:rsidRDefault="00000000" w:rsidRPr="00000000" w14:paraId="00000057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3 grands groupes dominent le marché : 1,5 pts</w:t>
      </w:r>
    </w:p>
    <w:p w:rsidR="00000000" w:rsidDel="00000000" w:rsidP="00000000" w:rsidRDefault="00000000" w:rsidRPr="00000000" w14:paraId="00000058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4- Analysez les ventes de Kusmi Tea en présentant les taux d'évolution  (annexe 3) </w:t>
      </w:r>
      <w:r w:rsidDel="00000000" w:rsidR="00000000" w:rsidRPr="00000000">
        <w:rPr>
          <w:color w:val="ff0000"/>
          <w:rtl w:val="0"/>
        </w:rPr>
        <w:t xml:space="preserve">4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(Th3 – Q2 - identifier les indicateurs pertinents pour apprécier la performance de l’organisation)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606"/>
        <w:gridCol w:w="1606"/>
        <w:gridCol w:w="1607"/>
        <w:gridCol w:w="1256"/>
        <w:gridCol w:w="1575"/>
        <w:gridCol w:w="1470"/>
        <w:tblGridChange w:id="0">
          <w:tblGrid>
            <w:gridCol w:w="1606"/>
            <w:gridCol w:w="1606"/>
            <w:gridCol w:w="1607"/>
            <w:gridCol w:w="1256"/>
            <w:gridCol w:w="157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Années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Chiffre d'affaires (en millions d'euro)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Taux d'évolution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18,20%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15,40%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15,60%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Présentation d'un calcul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color w:val="0066cc"/>
        </w:rPr>
      </w:pPr>
      <w:r w:rsidDel="00000000" w:rsidR="00000000" w:rsidRPr="00000000">
        <w:rPr>
          <w:color w:val="0066cc"/>
          <w:rtl w:val="0"/>
        </w:rPr>
        <w:t xml:space="preserve">pour 2019 : ((33-25)/25 )*100 = 32 % </w:t>
      </w:r>
      <w:r w:rsidDel="00000000" w:rsidR="00000000" w:rsidRPr="00000000">
        <w:rPr>
          <w:color w:val="ff0000"/>
          <w:rtl w:val="0"/>
        </w:rPr>
        <w:t xml:space="preserve">1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Analyse  1 pt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MT" w:cs="ArialMT" w:eastAsia="ArialMT" w:hAnsi="ArialMT"/>
          <w:color w:val="0066cc"/>
          <w:sz w:val="22"/>
          <w:szCs w:val="22"/>
          <w:rtl w:val="0"/>
        </w:rPr>
        <w:t xml:space="preserve">On constate depuis 4 ans une forte croissance des ventes (de 32 % en 2019 à 15,6 % en 2022). Le rythme de cette croissance se stabilise depuis 2021 (autour de 15,5 % par 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MT" w:cs="ArialMT" w:eastAsia="ArialMT" w:hAnsi="ArialMT"/>
          <w:color w:val="ff0000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color w:val="ff0000"/>
          <w:sz w:val="22"/>
          <w:szCs w:val="22"/>
          <w:rtl w:val="0"/>
        </w:rPr>
        <w:t xml:space="preserve">Justification de la hausse 1 pt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MT" w:cs="ArialMT" w:eastAsia="ArialMT" w:hAnsi="ArialMT"/>
          <w:color w:val="0066cc"/>
          <w:sz w:val="22"/>
          <w:szCs w:val="22"/>
          <w:rtl w:val="0"/>
        </w:rPr>
        <w:t xml:space="preserve">Cette hausse peut s’expliquer par l’engouement des consommateurs sur le marché du thé.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5- Déterminez le chiffre d’affaires annuel à réaliser pour rentabiliser l’implantation d’un Kusmikiosk. (annexe 4) </w:t>
      </w:r>
      <w:r w:rsidDel="00000000" w:rsidR="00000000" w:rsidRPr="00000000">
        <w:rPr>
          <w:color w:val="c9211e"/>
          <w:rtl w:val="0"/>
        </w:rPr>
        <w:t xml:space="preserve">6 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(Th3 – Q2 - identifier les indicateurs pertinents pour apprécier la performance de l’organisation + th4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sz w:val="20"/>
          <w:szCs w:val="20"/>
          <w:rtl w:val="0"/>
        </w:rPr>
        <w:t xml:space="preserve">Q9 - utiliser des données prospectives pour repérer l’incidence d’une évolution de l’activité d’une organisation sur son résultat (seuil de rentabilité)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0066cc"/>
        </w:rPr>
      </w:pPr>
      <w:r w:rsidDel="00000000" w:rsidR="00000000" w:rsidRPr="00000000">
        <w:rPr>
          <w:color w:val="0066cc"/>
          <w:rtl w:val="0"/>
        </w:rPr>
        <w:t xml:space="preserve">Compte de résultat différentiel</w:t>
      </w:r>
    </w:p>
    <w:tbl>
      <w:tblPr>
        <w:tblStyle w:val="Table4"/>
        <w:tblW w:w="9015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1963"/>
        <w:gridCol w:w="1920"/>
        <w:gridCol w:w="1920"/>
        <w:tblGridChange w:id="0">
          <w:tblGrid>
            <w:gridCol w:w="3212"/>
            <w:gridCol w:w="1963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*3 400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61 200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Charges variables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61 200  *0,62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37 944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Marge sur coût variable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23 256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TMCV = 38 %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6cc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6cc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Charges fixes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 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acquisition du k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coût du distributeur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technicien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approvisionneur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2 000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2 300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*12 = 720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20 * 12 = 2 640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7 660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6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résultat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15 596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SR en valeur = CV/TMCV = 7 660 / 0.38 = 20 157.90 €  </w:t>
      </w:r>
      <w:r w:rsidDel="00000000" w:rsidR="00000000" w:rsidRPr="00000000">
        <w:rPr>
          <w:color w:val="c9211e"/>
          <w:rtl w:val="0"/>
        </w:rPr>
        <w:t xml:space="preserve">1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color w:val="0070c0"/>
          <w:rtl w:val="0"/>
        </w:rPr>
        <w:t xml:space="preserve">L’entreprise commence à dégager un bénéfice lorsque le chiffre d’affaires annuel du distributeur automatique dépasse 20157.90 € soit 1120 boites (20 157.90 / 18) </w:t>
      </w:r>
      <w:r w:rsidDel="00000000" w:rsidR="00000000" w:rsidRPr="00000000">
        <w:rPr>
          <w:color w:val="c9211e"/>
          <w:rtl w:val="0"/>
        </w:rPr>
        <w:t xml:space="preserve">1 pt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ArialMT"/>
  <w:font w:name="Noto Sans Symbols">
    <w:embedRegular w:fontKey="{00000000-0000-0000-0000-000000000000}" r:id="rId3" w:subsetted="0"/>
    <w:embedBold w:fontKey="{00000000-0000-0000-0000-000000000000}" r:id="rId4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