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4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9"/>
        <w:gridCol w:w="568"/>
        <w:gridCol w:w="4536"/>
        <w:gridCol w:w="978"/>
        <w:gridCol w:w="1449"/>
        <w:tblGridChange w:id="0">
          <w:tblGrid>
            <w:gridCol w:w="3509"/>
            <w:gridCol w:w="568"/>
            <w:gridCol w:w="4536"/>
            <w:gridCol w:w="978"/>
            <w:gridCol w:w="144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Nom :</w:t>
            </w:r>
            <w:r w:rsidDel="00000000" w:rsidR="00000000" w:rsidRPr="00000000">
              <w:rPr>
                <w:rtl w:val="0"/>
              </w:rPr>
            </w:r>
          </w:p>
          <w:p w:rsidR="00000000" w:rsidDel="00000000" w:rsidP="00000000" w:rsidRDefault="00000000" w:rsidRPr="00000000" w14:paraId="00000003">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Prénom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5">
            <w:pPr>
              <w:widowControl w:val="1"/>
              <w:spacing w:after="0" w:before="0" w:line="240" w:lineRule="auto"/>
              <w:jc w:val="center"/>
              <w:rPr>
                <w:rFonts w:ascii="Calibri" w:cs="Calibri" w:eastAsia="Calibri" w:hAnsi="Calibri"/>
              </w:rPr>
            </w:pPr>
            <w:r w:rsidDel="00000000" w:rsidR="00000000" w:rsidRPr="00000000">
              <w:rPr>
                <w:b w:val="1"/>
                <w:smallCaps w:val="1"/>
                <w:sz w:val="24"/>
                <w:szCs w:val="24"/>
                <w:rtl w:val="0"/>
              </w:rPr>
              <w:t xml:space="preserve">SCIENCES DE GESTION ET DU NUMÉRIQUE </w:t>
            </w:r>
            <w:r w:rsidDel="00000000" w:rsidR="00000000" w:rsidRPr="00000000">
              <w:rPr>
                <w:sz w:val="22"/>
                <w:szCs w:val="22"/>
                <w:rtl w:val="0"/>
              </w:rPr>
              <w:t xml:space="preserve">(SDGN)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widowControl w:val="1"/>
              <w:spacing w:after="0" w:before="0" w:line="240" w:lineRule="auto"/>
              <w:jc w:val="center"/>
              <w:rPr>
                <w:rFonts w:ascii="Calibri" w:cs="Calibri" w:eastAsia="Calibri" w:hAnsi="Calibri"/>
              </w:rPr>
            </w:pPr>
            <w:r w:rsidDel="00000000" w:rsidR="00000000" w:rsidRPr="00000000">
              <w:rPr>
                <w:sz w:val="24"/>
                <w:szCs w:val="24"/>
                <w:rtl w:val="0"/>
              </w:rPr>
              <w:t xml:space="preserve">1</w:t>
            </w:r>
            <w:r w:rsidDel="00000000" w:rsidR="00000000" w:rsidRPr="00000000">
              <w:rPr>
                <w:sz w:val="24"/>
                <w:szCs w:val="24"/>
                <w:vertAlign w:val="superscript"/>
                <w:rtl w:val="0"/>
              </w:rPr>
              <w:t xml:space="preserve">ère</w:t>
            </w:r>
            <w:r w:rsidDel="00000000" w:rsidR="00000000" w:rsidRPr="00000000">
              <w:rPr>
                <w:sz w:val="24"/>
                <w:szCs w:val="24"/>
                <w:rtl w:val="0"/>
              </w:rPr>
              <w:t xml:space="preserve"> STMG</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widowControl w:val="1"/>
              <w:spacing w:after="0" w:before="0" w:line="240" w:lineRule="auto"/>
              <w:jc w:val="center"/>
              <w:rPr>
                <w:rFonts w:ascii="Calibri" w:cs="Calibri" w:eastAsia="Calibri" w:hAnsi="Calibri"/>
                <w:b w:val="1"/>
                <w:smallCaps w:val="1"/>
                <w:sz w:val="32"/>
                <w:szCs w:val="32"/>
              </w:rPr>
            </w:pPr>
            <w:r w:rsidDel="00000000" w:rsidR="00000000" w:rsidRPr="00000000">
              <w:rPr>
                <w:b w:val="1"/>
                <w:smallCaps w:val="1"/>
                <w:sz w:val="32"/>
                <w:szCs w:val="32"/>
                <w:rtl w:val="0"/>
              </w:rPr>
              <w:t xml:space="preserve">DS </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widowControl w:val="1"/>
              <w:spacing w:after="0" w:before="120" w:line="240" w:lineRule="auto"/>
              <w:jc w:val="center"/>
              <w:rPr>
                <w:rFonts w:ascii="Calibri" w:cs="Calibri" w:eastAsia="Calibri" w:hAnsi="Calibri"/>
                <w:b w:val="1"/>
                <w:smallCaps w:val="1"/>
                <w:sz w:val="32"/>
                <w:szCs w:val="32"/>
                <w:highlight w:val="yellow"/>
              </w:rPr>
            </w:pPr>
            <w:r w:rsidDel="00000000" w:rsidR="00000000" w:rsidRPr="00000000">
              <w:rPr>
                <w:rtl w:val="0"/>
              </w:rPr>
            </w:r>
          </w:p>
          <w:p w:rsidR="00000000" w:rsidDel="00000000" w:rsidP="00000000" w:rsidRDefault="00000000" w:rsidRPr="00000000" w14:paraId="0000000C">
            <w:pPr>
              <w:widowControl w:val="1"/>
              <w:spacing w:after="0" w:before="0" w:line="240" w:lineRule="auto"/>
              <w:jc w:val="center"/>
              <w:rPr>
                <w:rFonts w:ascii="Calibri" w:cs="Calibri" w:eastAsia="Calibri" w:hAnsi="Calibri"/>
                <w:b w:val="1"/>
                <w:smallCaps w:val="1"/>
                <w:sz w:val="8"/>
                <w:szCs w:val="8"/>
                <w:highlight w:val="yellow"/>
              </w:rPr>
            </w:pPr>
            <w:r w:rsidDel="00000000" w:rsidR="00000000" w:rsidRPr="00000000">
              <w:rPr>
                <w:rtl w:val="0"/>
              </w:rPr>
            </w:r>
          </w:p>
          <w:p w:rsidR="00000000" w:rsidDel="00000000" w:rsidP="00000000" w:rsidRDefault="00000000" w:rsidRPr="00000000" w14:paraId="0000000D">
            <w:pPr>
              <w:widowControl w:val="1"/>
              <w:spacing w:after="0" w:before="0" w:line="240" w:lineRule="auto"/>
              <w:jc w:val="center"/>
              <w:rPr>
                <w:rFonts w:ascii="Calibri" w:cs="Calibri" w:eastAsia="Calibri" w:hAnsi="Calibri"/>
                <w:b w:val="1"/>
                <w:smallCaps w:val="1"/>
                <w:sz w:val="24"/>
                <w:szCs w:val="24"/>
              </w:rPr>
            </w:pPr>
            <w:r w:rsidDel="00000000" w:rsidR="00000000" w:rsidRPr="00000000">
              <w:rPr>
                <w:b w:val="1"/>
                <w:smallCaps w:val="1"/>
                <w:sz w:val="24"/>
                <w:szCs w:val="24"/>
                <w:rtl w:val="0"/>
              </w:rPr>
              <w:t xml:space="preserve">16/12/2022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Thème de gestion de référence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widowControl w:val="1"/>
              <w:spacing w:after="0" w:before="0" w:line="240" w:lineRule="auto"/>
              <w:jc w:val="left"/>
              <w:rPr>
                <w:rFonts w:ascii="Calibri" w:cs="Calibri" w:eastAsia="Calibri" w:hAnsi="Calibri"/>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Question de gestion de référence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widowControl w:val="1"/>
              <w:spacing w:after="0" w:before="0" w:line="240" w:lineRule="auto"/>
              <w:jc w:val="left"/>
              <w:rPr>
                <w:rFonts w:ascii="Calibri" w:cs="Calibri" w:eastAsia="Calibri" w:hAnsi="Calibri"/>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9">
      <w:pPr>
        <w:spacing w:after="0" w:before="0" w:line="240" w:lineRule="auto"/>
        <w:rPr>
          <w:sz w:val="14"/>
          <w:szCs w:val="14"/>
        </w:rPr>
      </w:pPr>
      <w:r w:rsidDel="00000000" w:rsidR="00000000" w:rsidRPr="00000000">
        <w:rPr>
          <w:rtl w:val="0"/>
        </w:rPr>
      </w:r>
    </w:p>
    <w:p w:rsidR="00000000" w:rsidDel="00000000" w:rsidP="00000000" w:rsidRDefault="00000000" w:rsidRPr="00000000" w14:paraId="0000001A">
      <w:pPr>
        <w:spacing w:after="0" w:before="0" w:line="240" w:lineRule="auto"/>
        <w:rPr>
          <w:sz w:val="14"/>
          <w:szCs w:val="14"/>
        </w:rPr>
      </w:pPr>
      <w:r w:rsidDel="00000000" w:rsidR="00000000" w:rsidRPr="00000000">
        <w:rPr>
          <w:rtl w:val="0"/>
        </w:rPr>
      </w:r>
    </w:p>
    <w:p w:rsidR="00000000" w:rsidDel="00000000" w:rsidP="00000000" w:rsidRDefault="00000000" w:rsidRPr="00000000" w14:paraId="0000001B">
      <w:pPr>
        <w:shd w:fill="bfbfbf" w:val="clear"/>
        <w:spacing w:after="0" w:before="0" w:line="240" w:lineRule="auto"/>
        <w:rPr>
          <w:b w:val="1"/>
          <w:color w:val="000000"/>
          <w:sz w:val="22"/>
          <w:szCs w:val="22"/>
        </w:rPr>
      </w:pPr>
      <w:r w:rsidDel="00000000" w:rsidR="00000000" w:rsidRPr="00000000">
        <w:rPr>
          <w:b w:val="1"/>
          <w:color w:val="000000"/>
          <w:sz w:val="22"/>
          <w:szCs w:val="22"/>
          <w:rtl w:val="0"/>
        </w:rPr>
        <w:t xml:space="preserve">SITUATION</w:t>
      </w:r>
    </w:p>
    <w:p w:rsidR="00000000" w:rsidDel="00000000" w:rsidP="00000000" w:rsidRDefault="00000000" w:rsidRPr="00000000" w14:paraId="0000001C">
      <w:pPr>
        <w:spacing w:after="0" w:before="0" w:line="240" w:lineRule="auto"/>
        <w:rPr>
          <w:sz w:val="14"/>
          <w:szCs w:val="14"/>
        </w:rPr>
      </w:pPr>
      <w:r w:rsidDel="00000000" w:rsidR="00000000" w:rsidRPr="00000000">
        <w:rPr>
          <w:rtl w:val="0"/>
        </w:rPr>
      </w:r>
    </w:p>
    <w:p w:rsidR="00000000" w:rsidDel="00000000" w:rsidP="00000000" w:rsidRDefault="00000000" w:rsidRPr="00000000" w14:paraId="0000001D">
      <w:pPr>
        <w:spacing w:after="0" w:before="0" w:line="240" w:lineRule="auto"/>
        <w:rPr>
          <w:sz w:val="14"/>
          <w:szCs w:val="1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2517775</wp:posOffset>
            </wp:positionH>
            <wp:positionV relativeFrom="paragraph">
              <wp:posOffset>45720</wp:posOffset>
            </wp:positionV>
            <wp:extent cx="1805305" cy="86042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5305" cy="860425"/>
                    </a:xfrm>
                    <a:prstGeom prst="rect"/>
                    <a:ln/>
                  </pic:spPr>
                </pic:pic>
              </a:graphicData>
            </a:graphic>
          </wp:anchor>
        </w:drawing>
      </w:r>
    </w:p>
    <w:p w:rsidR="00000000" w:rsidDel="00000000" w:rsidP="00000000" w:rsidRDefault="00000000" w:rsidRPr="00000000" w14:paraId="0000001E">
      <w:pPr>
        <w:spacing w:after="0" w:before="0" w:line="240" w:lineRule="auto"/>
        <w:rPr>
          <w:sz w:val="14"/>
          <w:szCs w:val="14"/>
        </w:rPr>
      </w:pPr>
      <w:r w:rsidDel="00000000" w:rsidR="00000000" w:rsidRPr="00000000">
        <w:rPr>
          <w:rtl w:val="0"/>
        </w:rPr>
      </w:r>
    </w:p>
    <w:p w:rsidR="00000000" w:rsidDel="00000000" w:rsidP="00000000" w:rsidRDefault="00000000" w:rsidRPr="00000000" w14:paraId="0000001F">
      <w:pPr>
        <w:spacing w:after="0" w:before="0" w:line="240" w:lineRule="auto"/>
        <w:rPr>
          <w:sz w:val="14"/>
          <w:szCs w:val="14"/>
        </w:rPr>
      </w:pPr>
      <w:r w:rsidDel="00000000" w:rsidR="00000000" w:rsidRPr="00000000">
        <w:rPr>
          <w:rtl w:val="0"/>
        </w:rPr>
      </w:r>
    </w:p>
    <w:p w:rsidR="00000000" w:rsidDel="00000000" w:rsidP="00000000" w:rsidRDefault="00000000" w:rsidRPr="00000000" w14:paraId="00000020">
      <w:pPr>
        <w:spacing w:after="0" w:before="0" w:line="240" w:lineRule="auto"/>
        <w:rPr>
          <w:sz w:val="14"/>
          <w:szCs w:val="14"/>
        </w:rPr>
      </w:pPr>
      <w:r w:rsidDel="00000000" w:rsidR="00000000" w:rsidRPr="00000000">
        <w:rPr>
          <w:rtl w:val="0"/>
        </w:rPr>
      </w:r>
    </w:p>
    <w:p w:rsidR="00000000" w:rsidDel="00000000" w:rsidP="00000000" w:rsidRDefault="00000000" w:rsidRPr="00000000" w14:paraId="00000021">
      <w:pPr>
        <w:spacing w:after="0" w:before="0" w:line="240" w:lineRule="auto"/>
        <w:rPr>
          <w:sz w:val="14"/>
          <w:szCs w:val="14"/>
        </w:rPr>
      </w:pPr>
      <w:r w:rsidDel="00000000" w:rsidR="00000000" w:rsidRPr="00000000">
        <w:rPr>
          <w:rtl w:val="0"/>
        </w:rPr>
      </w:r>
    </w:p>
    <w:p w:rsidR="00000000" w:rsidDel="00000000" w:rsidP="00000000" w:rsidRDefault="00000000" w:rsidRPr="00000000" w14:paraId="00000022">
      <w:pPr>
        <w:spacing w:after="0" w:before="0" w:line="240" w:lineRule="auto"/>
        <w:rPr>
          <w:sz w:val="14"/>
          <w:szCs w:val="14"/>
        </w:rPr>
      </w:pPr>
      <w:r w:rsidDel="00000000" w:rsidR="00000000" w:rsidRPr="00000000">
        <w:rPr>
          <w:rtl w:val="0"/>
        </w:rPr>
      </w:r>
    </w:p>
    <w:p w:rsidR="00000000" w:rsidDel="00000000" w:rsidP="00000000" w:rsidRDefault="00000000" w:rsidRPr="00000000" w14:paraId="00000023">
      <w:pPr>
        <w:spacing w:after="0" w:before="0" w:line="240" w:lineRule="auto"/>
        <w:rPr>
          <w:sz w:val="14"/>
          <w:szCs w:val="14"/>
        </w:rPr>
      </w:pPr>
      <w:r w:rsidDel="00000000" w:rsidR="00000000" w:rsidRPr="00000000">
        <w:rPr>
          <w:rtl w:val="0"/>
        </w:rPr>
      </w:r>
    </w:p>
    <w:p w:rsidR="00000000" w:rsidDel="00000000" w:rsidP="00000000" w:rsidRDefault="00000000" w:rsidRPr="00000000" w14:paraId="00000024">
      <w:pPr>
        <w:spacing w:after="0" w:before="0" w:line="240" w:lineRule="auto"/>
        <w:rPr>
          <w:sz w:val="14"/>
          <w:szCs w:val="14"/>
        </w:rPr>
      </w:pPr>
      <w:r w:rsidDel="00000000" w:rsidR="00000000" w:rsidRPr="00000000">
        <w:rPr>
          <w:rtl w:val="0"/>
        </w:rPr>
      </w:r>
    </w:p>
    <w:p w:rsidR="00000000" w:rsidDel="00000000" w:rsidP="00000000" w:rsidRDefault="00000000" w:rsidRPr="00000000" w14:paraId="00000025">
      <w:pPr>
        <w:spacing w:after="0" w:before="0" w:line="240" w:lineRule="auto"/>
        <w:rPr>
          <w:sz w:val="14"/>
          <w:szCs w:val="14"/>
        </w:rPr>
      </w:pPr>
      <w:r w:rsidDel="00000000" w:rsidR="00000000" w:rsidRPr="00000000">
        <w:rPr>
          <w:rtl w:val="0"/>
        </w:rPr>
      </w:r>
    </w:p>
    <w:p w:rsidR="00000000" w:rsidDel="00000000" w:rsidP="00000000" w:rsidRDefault="00000000" w:rsidRPr="00000000" w14:paraId="00000026">
      <w:pPr>
        <w:spacing w:after="0" w:before="0" w:line="240" w:lineRule="auto"/>
        <w:rPr>
          <w:sz w:val="14"/>
          <w:szCs w:val="14"/>
        </w:rPr>
      </w:pPr>
      <w:r w:rsidDel="00000000" w:rsidR="00000000" w:rsidRPr="00000000">
        <w:rPr>
          <w:rtl w:val="0"/>
        </w:rPr>
      </w:r>
    </w:p>
    <w:p w:rsidR="00000000" w:rsidDel="00000000" w:rsidP="00000000" w:rsidRDefault="00000000" w:rsidRPr="00000000" w14:paraId="00000027">
      <w:pPr>
        <w:spacing w:after="0" w:before="0" w:line="240" w:lineRule="auto"/>
        <w:rPr>
          <w:sz w:val="14"/>
          <w:szCs w:val="14"/>
        </w:rPr>
      </w:pPr>
      <w:r w:rsidDel="00000000" w:rsidR="00000000" w:rsidRPr="00000000">
        <w:rPr>
          <w:rtl w:val="0"/>
        </w:rPr>
      </w:r>
    </w:p>
    <w:p w:rsidR="00000000" w:rsidDel="00000000" w:rsidP="00000000" w:rsidRDefault="00000000" w:rsidRPr="00000000" w14:paraId="00000028">
      <w:pPr>
        <w:spacing w:after="0" w:before="0" w:line="240" w:lineRule="auto"/>
        <w:jc w:val="both"/>
        <w:rPr>
          <w:sz w:val="24"/>
          <w:szCs w:val="24"/>
        </w:rPr>
      </w:pPr>
      <w:r w:rsidDel="00000000" w:rsidR="00000000" w:rsidRPr="00000000">
        <w:rPr>
          <w:sz w:val="24"/>
          <w:szCs w:val="24"/>
          <w:rtl w:val="0"/>
        </w:rPr>
        <w:t xml:space="preserve">En 1867, Pavel Kousmichoff fonde la maison de thé Kousmichoff à Saint-Pétersbourg . Le succès ne se fait pas attendre et le Kusmi Tea devient rapidement le thé favori des tsars . </w:t>
      </w:r>
    </w:p>
    <w:p w:rsidR="00000000" w:rsidDel="00000000" w:rsidP="00000000" w:rsidRDefault="00000000" w:rsidRPr="00000000" w14:paraId="00000029">
      <w:pPr>
        <w:spacing w:after="0" w:before="0" w:line="240" w:lineRule="auto"/>
        <w:jc w:val="both"/>
        <w:rPr>
          <w:sz w:val="24"/>
          <w:szCs w:val="24"/>
        </w:rPr>
      </w:pPr>
      <w:r w:rsidDel="00000000" w:rsidR="00000000" w:rsidRPr="00000000">
        <w:rPr>
          <w:sz w:val="24"/>
          <w:szCs w:val="24"/>
          <w:rtl w:val="0"/>
        </w:rPr>
        <w:t xml:space="preserve">Fuyant la révolution de 1917, la famille Kousmichoff quitte la Russie et installe ses ateliers à Paris. L’entreprise familiale prospère rapidement, y compris à l’échelle internationale : de New-York à Berlin, des boutiques Kusmi Tea ouvrent dans les villes les plus prestigieuses. Issus d’une longue lignée de négociants dans le café et le cacao, les frères Orebi tombent sous le charme de Kusmi Tea et de ses boîtes multicolores. Inventifs et épris de modernité, ils rachètent Kusmi Tea et reprennent la direction de l’entreprise en 2003.</w:t>
      </w:r>
    </w:p>
    <w:p w:rsidR="00000000" w:rsidDel="00000000" w:rsidP="00000000" w:rsidRDefault="00000000" w:rsidRPr="00000000" w14:paraId="0000002A">
      <w:pPr>
        <w:spacing w:after="0" w:before="0" w:line="240" w:lineRule="auto"/>
        <w:jc w:val="both"/>
        <w:rPr>
          <w:sz w:val="24"/>
          <w:szCs w:val="24"/>
        </w:rPr>
      </w:pPr>
      <w:r w:rsidDel="00000000" w:rsidR="00000000" w:rsidRPr="00000000">
        <w:rPr>
          <w:sz w:val="24"/>
          <w:szCs w:val="24"/>
          <w:rtl w:val="0"/>
        </w:rPr>
        <w:t xml:space="preserve">20 ans après, les frères Orebi souhaitent dresser un bilan de la situation de leur entreprise sur le marché français,</w:t>
      </w:r>
    </w:p>
    <w:p w:rsidR="00000000" w:rsidDel="00000000" w:rsidP="00000000" w:rsidRDefault="00000000" w:rsidRPr="00000000" w14:paraId="0000002B">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0" w:before="0" w:line="240" w:lineRule="auto"/>
        <w:jc w:val="both"/>
        <w:rPr>
          <w:sz w:val="24"/>
          <w:szCs w:val="24"/>
        </w:rPr>
      </w:pPr>
      <w:r w:rsidDel="00000000" w:rsidR="00000000" w:rsidRPr="00000000">
        <w:rPr>
          <w:sz w:val="24"/>
          <w:szCs w:val="24"/>
          <w:rtl w:val="0"/>
        </w:rPr>
        <w:t xml:space="preserve">1- Identifiez les composantes de l'attitude du consommateur de thé. (annexe 1)</w:t>
      </w:r>
    </w:p>
    <w:p w:rsidR="00000000" w:rsidDel="00000000" w:rsidP="00000000" w:rsidRDefault="00000000" w:rsidRPr="00000000" w14:paraId="0000002E">
      <w:pPr>
        <w:spacing w:after="0" w:before="0" w:line="240" w:lineRule="auto"/>
        <w:jc w:val="both"/>
        <w:rPr/>
      </w:pPr>
      <w:r w:rsidDel="00000000" w:rsidR="00000000" w:rsidRPr="00000000">
        <w:rPr>
          <w:sz w:val="24"/>
          <w:szCs w:val="24"/>
          <w:rtl w:val="0"/>
        </w:rPr>
        <w:t xml:space="preserve"> (th1 Q2 : </w:t>
      </w:r>
      <w:r w:rsidDel="00000000" w:rsidR="00000000" w:rsidRPr="00000000">
        <w:rPr>
          <w:rtl w:val="0"/>
        </w:rPr>
        <w:t xml:space="preserve">caractériser les comportements individuels au sein des groupes )</w:t>
      </w:r>
    </w:p>
    <w:p w:rsidR="00000000" w:rsidDel="00000000" w:rsidP="00000000" w:rsidRDefault="00000000" w:rsidRPr="00000000" w14:paraId="0000002F">
      <w:pPr>
        <w:spacing w:after="0" w:before="0" w:line="240" w:lineRule="auto"/>
        <w:jc w:val="both"/>
        <w:rPr/>
      </w:pPr>
      <w:r w:rsidDel="00000000" w:rsidR="00000000" w:rsidRPr="00000000">
        <w:rPr>
          <w:rtl w:val="0"/>
        </w:rPr>
      </w:r>
    </w:p>
    <w:p w:rsidR="00000000" w:rsidDel="00000000" w:rsidP="00000000" w:rsidRDefault="00000000" w:rsidRPr="00000000" w14:paraId="00000030">
      <w:pPr>
        <w:spacing w:after="0" w:before="0" w:line="240" w:lineRule="auto"/>
        <w:jc w:val="both"/>
        <w:rPr/>
      </w:pPr>
      <w:r w:rsidDel="00000000" w:rsidR="00000000" w:rsidRPr="00000000">
        <w:rPr>
          <w:rtl w:val="0"/>
        </w:rPr>
        <w:t xml:space="preserve">2- Calculez les parts de marchés des acteurs du marché du thé, (annexe 2) </w:t>
      </w:r>
    </w:p>
    <w:p w:rsidR="00000000" w:rsidDel="00000000" w:rsidP="00000000" w:rsidRDefault="00000000" w:rsidRPr="00000000" w14:paraId="00000031">
      <w:pPr>
        <w:spacing w:after="0" w:before="0" w:line="240" w:lineRule="auto"/>
        <w:jc w:val="both"/>
        <w:rPr/>
      </w:pPr>
      <w:r w:rsidDel="00000000" w:rsidR="00000000" w:rsidRPr="00000000">
        <w:rPr>
          <w:rtl w:val="0"/>
        </w:rPr>
        <w:t xml:space="preserve">(Th3 – Q2 - identifier les indicateurs pertinents pour apprécier la performance de l’organisation)</w:t>
      </w:r>
    </w:p>
    <w:p w:rsidR="00000000" w:rsidDel="00000000" w:rsidP="00000000" w:rsidRDefault="00000000" w:rsidRPr="00000000" w14:paraId="00000032">
      <w:pPr>
        <w:spacing w:after="0" w:before="0" w:line="240" w:lineRule="auto"/>
        <w:jc w:val="both"/>
        <w:rPr/>
      </w:pPr>
      <w:r w:rsidDel="00000000" w:rsidR="00000000" w:rsidRPr="00000000">
        <w:rPr>
          <w:rtl w:val="0"/>
        </w:rPr>
      </w:r>
    </w:p>
    <w:p w:rsidR="00000000" w:rsidDel="00000000" w:rsidP="00000000" w:rsidRDefault="00000000" w:rsidRPr="00000000" w14:paraId="00000033">
      <w:pPr>
        <w:spacing w:after="0" w:before="0" w:line="240" w:lineRule="auto"/>
        <w:jc w:val="both"/>
        <w:rPr/>
      </w:pPr>
      <w:r w:rsidDel="00000000" w:rsidR="00000000" w:rsidRPr="00000000">
        <w:rPr>
          <w:rtl w:val="0"/>
        </w:rPr>
        <w:t xml:space="preserve">3- A partir de votre réponse précédente, déterminez leur position concurrentielle. </w:t>
      </w:r>
    </w:p>
    <w:p w:rsidR="00000000" w:rsidDel="00000000" w:rsidP="00000000" w:rsidRDefault="00000000" w:rsidRPr="00000000" w14:paraId="00000034">
      <w:pPr>
        <w:spacing w:after="0" w:before="0" w:line="240" w:lineRule="auto"/>
        <w:jc w:val="both"/>
        <w:rPr/>
      </w:pPr>
      <w:r w:rsidDel="00000000" w:rsidR="00000000" w:rsidRPr="00000000">
        <w:rPr>
          <w:rtl w:val="0"/>
        </w:rPr>
        <w:t xml:space="preserve">(Th3 – Q2 - identifier les indicateurs pertinents pour apprécier la performance de l’organisation)</w:t>
      </w:r>
    </w:p>
    <w:p w:rsidR="00000000" w:rsidDel="00000000" w:rsidP="00000000" w:rsidRDefault="00000000" w:rsidRPr="00000000" w14:paraId="00000035">
      <w:pPr>
        <w:spacing w:after="0" w:before="0" w:line="240" w:lineRule="auto"/>
        <w:jc w:val="both"/>
        <w:rPr/>
      </w:pPr>
      <w:r w:rsidDel="00000000" w:rsidR="00000000" w:rsidRPr="00000000">
        <w:rPr>
          <w:rtl w:val="0"/>
        </w:rPr>
      </w:r>
    </w:p>
    <w:p w:rsidR="00000000" w:rsidDel="00000000" w:rsidP="00000000" w:rsidRDefault="00000000" w:rsidRPr="00000000" w14:paraId="00000036">
      <w:pPr>
        <w:spacing w:after="0" w:before="0" w:line="240" w:lineRule="auto"/>
        <w:jc w:val="both"/>
        <w:rPr/>
      </w:pPr>
      <w:r w:rsidDel="00000000" w:rsidR="00000000" w:rsidRPr="00000000">
        <w:rPr>
          <w:rtl w:val="0"/>
        </w:rPr>
        <w:t xml:space="preserve">4- Analysez les ventes de Kusmi Tea en présentant les taux d'évolution  (annexe 3)</w:t>
      </w:r>
    </w:p>
    <w:p w:rsidR="00000000" w:rsidDel="00000000" w:rsidP="00000000" w:rsidRDefault="00000000" w:rsidRPr="00000000" w14:paraId="00000037">
      <w:pPr>
        <w:spacing w:after="0" w:before="0" w:line="240" w:lineRule="auto"/>
        <w:jc w:val="both"/>
        <w:rPr/>
      </w:pPr>
      <w:r w:rsidDel="00000000" w:rsidR="00000000" w:rsidRPr="00000000">
        <w:rPr>
          <w:rtl w:val="0"/>
        </w:rPr>
        <w:t xml:space="preserve">(Th3 – Q2 - identifier les indicateurs pertinents pour apprécier la performance de l’organisation)</w:t>
      </w:r>
    </w:p>
    <w:p w:rsidR="00000000" w:rsidDel="00000000" w:rsidP="00000000" w:rsidRDefault="00000000" w:rsidRPr="00000000" w14:paraId="00000038">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0" w:before="0" w:line="240" w:lineRule="auto"/>
        <w:jc w:val="both"/>
        <w:rPr/>
      </w:pPr>
      <w:r w:rsidDel="00000000" w:rsidR="00000000" w:rsidRPr="00000000">
        <w:rPr>
          <w:sz w:val="24"/>
          <w:szCs w:val="24"/>
          <w:rtl w:val="0"/>
        </w:rPr>
        <w:t xml:space="preserve">Afin d’entretenir une dynamique de croissance et de développer leur clientèle, les frères Orebi souhaitent implanter un </w:t>
      </w:r>
      <w:r w:rsidDel="00000000" w:rsidR="00000000" w:rsidRPr="00000000">
        <w:rPr>
          <w:rtl w:val="0"/>
        </w:rPr>
        <w:t xml:space="preserve">Kusmikiosk, distributeur automatique de thés Kusmi Tea  </w:t>
      </w:r>
      <w:r w:rsidDel="00000000" w:rsidR="00000000" w:rsidRPr="00000000">
        <w:drawing>
          <wp:anchor allowOverlap="1" behindDoc="0" distB="0" distT="0" distL="0" distR="0" hidden="0" layoutInCell="1" locked="0" relativeHeight="0" simplePos="0">
            <wp:simplePos x="0" y="0"/>
            <wp:positionH relativeFrom="column">
              <wp:posOffset>4153534</wp:posOffset>
            </wp:positionH>
            <wp:positionV relativeFrom="paragraph">
              <wp:posOffset>325120</wp:posOffset>
            </wp:positionV>
            <wp:extent cx="1181100" cy="1121410"/>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81100" cy="1121410"/>
                    </a:xfrm>
                    <a:prstGeom prst="rect"/>
                    <a:ln/>
                  </pic:spPr>
                </pic:pic>
              </a:graphicData>
            </a:graphic>
          </wp:anchor>
        </w:drawing>
      </w:r>
    </w:p>
    <w:p w:rsidR="00000000" w:rsidDel="00000000" w:rsidP="00000000" w:rsidRDefault="00000000" w:rsidRPr="00000000" w14:paraId="0000003B">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C">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E">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jc w:val="both"/>
        <w:rPr>
          <w:sz w:val="24"/>
          <w:szCs w:val="24"/>
        </w:rPr>
      </w:pPr>
      <w:r w:rsidDel="00000000" w:rsidR="00000000" w:rsidRPr="00000000">
        <w:rPr>
          <w:sz w:val="24"/>
          <w:szCs w:val="24"/>
          <w:rtl w:val="0"/>
        </w:rPr>
        <w:t xml:space="preserve">5- Déterminez le chiffre d’affaires annuel à réaliser pour rentabiliser l’implantation d’un Kusmikiosk. (annexe 4)</w:t>
      </w:r>
    </w:p>
    <w:p w:rsidR="00000000" w:rsidDel="00000000" w:rsidP="00000000" w:rsidRDefault="00000000" w:rsidRPr="00000000" w14:paraId="00000043">
      <w:pPr>
        <w:spacing w:after="0" w:before="0" w:line="240" w:lineRule="auto"/>
        <w:jc w:val="both"/>
        <w:rPr/>
      </w:pPr>
      <w:r w:rsidDel="00000000" w:rsidR="00000000" w:rsidRPr="00000000">
        <w:rPr>
          <w:sz w:val="24"/>
          <w:szCs w:val="24"/>
          <w:rtl w:val="0"/>
        </w:rPr>
        <w:t xml:space="preserve">(Th3 – Q2 - identifier les indicateurs pertinents pour apprécier la performance de l’organisation + th4 – Q9 - </w:t>
      </w:r>
      <w:r w:rsidDel="00000000" w:rsidR="00000000" w:rsidRPr="00000000">
        <w:rPr>
          <w:rtl w:val="0"/>
        </w:rPr>
        <w:t xml:space="preserve">utiliser des données prospectives pour repérer l’incidence d’une évolution de l’activité d’une organisation sur son résultat (seuil de rentabilité) </w:t>
      </w:r>
    </w:p>
    <w:p w:rsidR="00000000" w:rsidDel="00000000" w:rsidP="00000000" w:rsidRDefault="00000000" w:rsidRPr="00000000" w14:paraId="00000044">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before="0" w:line="240" w:lineRule="auto"/>
        <w:jc w:val="both"/>
        <w:rPr>
          <w:sz w:val="24"/>
          <w:szCs w:val="24"/>
        </w:rPr>
      </w:pPr>
      <w:r w:rsidDel="00000000" w:rsidR="00000000" w:rsidRPr="00000000">
        <w:rPr>
          <w:sz w:val="24"/>
          <w:szCs w:val="24"/>
          <w:rtl w:val="0"/>
        </w:rPr>
        <w:t xml:space="preserve">Annexe 1 – Des consommateurs nombreux et dépensiers</w:t>
      </w:r>
      <w:r w:rsidDel="00000000" w:rsidR="00000000" w:rsidRPr="00000000">
        <w:drawing>
          <wp:anchor allowOverlap="1" behindDoc="0" distB="0" distT="0" distL="0" distR="0" hidden="0" layoutInCell="1" locked="0" relativeHeight="0" simplePos="0">
            <wp:simplePos x="0" y="0"/>
            <wp:positionH relativeFrom="column">
              <wp:posOffset>191135</wp:posOffset>
            </wp:positionH>
            <wp:positionV relativeFrom="paragraph">
              <wp:posOffset>590550</wp:posOffset>
            </wp:positionV>
            <wp:extent cx="5924550" cy="3781425"/>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24550" cy="3781425"/>
                    </a:xfrm>
                    <a:prstGeom prst="rect"/>
                    <a:ln/>
                  </pic:spPr>
                </pic:pic>
              </a:graphicData>
            </a:graphic>
          </wp:anchor>
        </w:drawing>
      </w:r>
    </w:p>
    <w:p w:rsidR="00000000" w:rsidDel="00000000" w:rsidP="00000000" w:rsidRDefault="00000000" w:rsidRPr="00000000" w14:paraId="00000048">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B">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E">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4F">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4">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7">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8">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C">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D">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5F">
      <w:pPr>
        <w:spacing w:after="0" w:before="0" w:line="240" w:lineRule="auto"/>
        <w:jc w:val="both"/>
        <w:rPr>
          <w:sz w:val="24"/>
          <w:szCs w:val="24"/>
        </w:rPr>
      </w:pPr>
      <w:r w:rsidDel="00000000" w:rsidR="00000000" w:rsidRPr="00000000">
        <w:rPr>
          <w:sz w:val="24"/>
          <w:szCs w:val="24"/>
          <w:rtl w:val="0"/>
        </w:rPr>
        <w:t xml:space="preserve">Annexe 2 – Les acteurs sur le marché du thé en France en 2022</w:t>
      </w:r>
    </w:p>
    <w:p w:rsidR="00000000" w:rsidDel="00000000" w:rsidP="00000000" w:rsidRDefault="00000000" w:rsidRPr="00000000" w14:paraId="00000060">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61">
      <w:pPr>
        <w:spacing w:after="0" w:before="0" w:line="24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605472</wp:posOffset>
            </wp:positionH>
            <wp:positionV relativeFrom="paragraph">
              <wp:posOffset>635</wp:posOffset>
            </wp:positionV>
            <wp:extent cx="5629275" cy="262890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29275" cy="2628900"/>
                    </a:xfrm>
                    <a:prstGeom prst="rect"/>
                    <a:ln/>
                  </pic:spPr>
                </pic:pic>
              </a:graphicData>
            </a:graphic>
          </wp:anchor>
        </w:drawing>
      </w:r>
    </w:p>
    <w:p w:rsidR="00000000" w:rsidDel="00000000" w:rsidP="00000000" w:rsidRDefault="00000000" w:rsidRPr="00000000" w14:paraId="00000062">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63">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Annexe 3 – Évolution du chiffre d'affaires de Kusmi Tea</w:t>
      </w:r>
    </w:p>
    <w:p w:rsidR="00000000" w:rsidDel="00000000" w:rsidP="00000000" w:rsidRDefault="00000000" w:rsidRPr="00000000" w14:paraId="00000064">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5">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6">
      <w:pPr>
        <w:spacing w:after="0" w:before="0" w:line="240" w:lineRule="auto"/>
        <w:jc w:val="both"/>
        <w:rPr>
          <w:rFonts w:ascii="Arial" w:cs="Arial" w:eastAsia="Arial" w:hAnsi="Arial"/>
          <w:sz w:val="16"/>
          <w:szCs w:val="16"/>
        </w:rPr>
      </w:pPr>
      <w:r w:rsidDel="00000000" w:rsidR="00000000" w:rsidRPr="00000000">
        <w:rPr>
          <w:rtl w:val="0"/>
        </w:rPr>
      </w:r>
    </w:p>
    <w:tbl>
      <w:tblPr>
        <w:tblStyle w:val="Table2"/>
        <w:tblW w:w="10772.0" w:type="dxa"/>
        <w:jc w:val="left"/>
        <w:tblInd w:w="-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1795"/>
        <w:gridCol w:w="1795"/>
        <w:gridCol w:w="1795"/>
        <w:gridCol w:w="1796"/>
        <w:gridCol w:w="1795"/>
        <w:gridCol w:w="1796"/>
        <w:tblGridChange w:id="0">
          <w:tblGrid>
            <w:gridCol w:w="1795"/>
            <w:gridCol w:w="1795"/>
            <w:gridCol w:w="1795"/>
            <w:gridCol w:w="1796"/>
            <w:gridCol w:w="1795"/>
            <w:gridCol w:w="1796"/>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Années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2022</w:t>
            </w:r>
          </w:p>
        </w:tc>
      </w:tr>
      <w:tr>
        <w:trPr>
          <w:cantSplit w:val="0"/>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Chiffre d'affaires (en millions d'euro)</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39</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r>
          </w:p>
        </w:tc>
      </w:tr>
    </w:tbl>
    <w:p w:rsidR="00000000" w:rsidDel="00000000" w:rsidP="00000000" w:rsidRDefault="00000000" w:rsidRPr="00000000" w14:paraId="00000073">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4">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5">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6">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7">
      <w:pPr>
        <w:spacing w:after="0" w:before="0" w:line="240" w:lineRule="auto"/>
        <w:jc w:val="both"/>
        <w:rPr>
          <w:rFonts w:ascii="Arial" w:cs="Arial" w:eastAsia="Arial" w:hAnsi="Arial"/>
          <w:sz w:val="16"/>
          <w:szCs w:val="16"/>
        </w:rPr>
      </w:pPr>
      <w:r w:rsidDel="00000000" w:rsidR="00000000" w:rsidRPr="00000000">
        <w:rPr>
          <w:rFonts w:ascii="Arial" w:cs="Arial" w:eastAsia="Arial" w:hAnsi="Arial"/>
          <w:sz w:val="16"/>
          <w:szCs w:val="16"/>
        </w:rPr>
        <mc:AlternateContent>
          <mc:Choice Requires="wpg">
            <w:drawing>
              <wp:anchor allowOverlap="1" behindDoc="0" distB="0" distT="0" distL="0" distR="0" hidden="0" layoutInCell="1" locked="0" relativeHeight="0" simplePos="0">
                <wp:simplePos x="0" y="0"/>
                <wp:positionH relativeFrom="page">
                  <wp:posOffset>2556828</wp:posOffset>
                </wp:positionH>
                <wp:positionV relativeFrom="page">
                  <wp:posOffset>9256078</wp:posOffset>
                </wp:positionV>
                <wp:extent cx="1795145" cy="134620"/>
                <wp:effectExtent b="0" l="0" r="0" t="0"/>
                <wp:wrapNone/>
                <wp:docPr id="1" name=""/>
                <a:graphic>
                  <a:graphicData uri="http://schemas.microsoft.com/office/word/2010/wordprocessingShape">
                    <wps:wsp>
                      <wps:cNvSpPr/>
                      <wps:cNvPr id="2" name="Shape 2"/>
                      <wps:spPr>
                        <a:xfrm>
                          <a:off x="4453560" y="3717720"/>
                          <a:ext cx="1784880" cy="12456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2556828</wp:posOffset>
                </wp:positionH>
                <wp:positionV relativeFrom="page">
                  <wp:posOffset>9256078</wp:posOffset>
                </wp:positionV>
                <wp:extent cx="1795145" cy="134620"/>
                <wp:effectExtent b="0" l="0" r="0" t="0"/>
                <wp:wrapNone/>
                <wp:docPr id="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795145" cy="1346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8">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9">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spacing w:after="0" w:before="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spacing w:after="0" w:before="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Annexe 4 – Données chiffrées sur l'implantation d'un Kusmikiosk</w:t>
      </w:r>
      <w:r w:rsidDel="00000000" w:rsidR="00000000" w:rsidRPr="00000000">
        <w:drawing>
          <wp:anchor allowOverlap="1" behindDoc="0" distB="0" distT="0" distL="0" distR="0" hidden="0" layoutInCell="1" locked="0" relativeHeight="0" simplePos="0">
            <wp:simplePos x="0" y="0"/>
            <wp:positionH relativeFrom="column">
              <wp:posOffset>448310</wp:posOffset>
            </wp:positionH>
            <wp:positionV relativeFrom="paragraph">
              <wp:posOffset>295275</wp:posOffset>
            </wp:positionV>
            <wp:extent cx="5943600" cy="310515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3105150"/>
                    </a:xfrm>
                    <a:prstGeom prst="rect"/>
                    <a:ln/>
                  </pic:spPr>
                </pic:pic>
              </a:graphicData>
            </a:graphic>
          </wp:anchor>
        </w:drawing>
      </w:r>
    </w:p>
    <w:sectPr>
      <w:pgSz w:h="16838" w:w="11906" w:orient="portrait"/>
      <w:pgMar w:bottom="567" w:top="567"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80" w:before="280"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after="280" w:before="28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