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9CF8B" w14:textId="0AB494C7" w:rsidR="00EF1FCA" w:rsidRPr="005140EC" w:rsidRDefault="00EF1FCA" w:rsidP="005140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BE4D5" w:themeFill="accent2" w:themeFillTint="33"/>
        <w:spacing w:before="0" w:beforeAutospacing="0" w:after="0"/>
        <w:jc w:val="center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 xml:space="preserve">FICHE PROFESSEUR - JEU : </w:t>
      </w:r>
      <w:proofErr w:type="spellStart"/>
      <w:r w:rsidR="00AC661C" w:rsidRPr="005140EC">
        <w:rPr>
          <w:rFonts w:ascii="Century schoolbook" w:hAnsi="Century schoolbook"/>
          <w:sz w:val="20"/>
          <w:szCs w:val="20"/>
        </w:rPr>
        <w:t>Can’t</w:t>
      </w:r>
      <w:proofErr w:type="spellEnd"/>
      <w:r w:rsidR="00AC661C" w:rsidRPr="005140EC">
        <w:rPr>
          <w:rFonts w:ascii="Century schoolbook" w:hAnsi="Century schoolbook"/>
          <w:sz w:val="20"/>
          <w:szCs w:val="20"/>
        </w:rPr>
        <w:t xml:space="preserve"> Stop</w:t>
      </w:r>
    </w:p>
    <w:p w14:paraId="731336FA" w14:textId="77777777" w:rsidR="00D26D91" w:rsidRPr="005140EC" w:rsidRDefault="00D26D91" w:rsidP="005140EC">
      <w:pPr>
        <w:pStyle w:val="NormalWeb"/>
        <w:spacing w:before="0" w:beforeAutospacing="0" w:after="0"/>
        <w:rPr>
          <w:rFonts w:ascii="Century schoolbook" w:hAnsi="Century schoolbook"/>
          <w:sz w:val="20"/>
          <w:szCs w:val="20"/>
        </w:rPr>
      </w:pPr>
    </w:p>
    <w:p w14:paraId="20EC00A8" w14:textId="00590B4D" w:rsidR="00EF1FCA" w:rsidRPr="005140EC" w:rsidRDefault="00EF1FCA" w:rsidP="005140EC">
      <w:pPr>
        <w:pStyle w:val="NormalWeb"/>
        <w:spacing w:before="0" w:beforeAutospacing="0" w:after="0"/>
        <w:rPr>
          <w:rFonts w:ascii="Century schoolbook" w:hAnsi="Century schoolbook"/>
          <w:b/>
          <w:bCs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 xml:space="preserve">● </w:t>
      </w:r>
      <w:r w:rsidRPr="005140EC">
        <w:rPr>
          <w:rFonts w:ascii="Century schoolbook" w:hAnsi="Century schoolbook"/>
          <w:b/>
          <w:bCs/>
          <w:sz w:val="20"/>
          <w:szCs w:val="20"/>
        </w:rPr>
        <w:t>Niveau et Durée :</w:t>
      </w:r>
    </w:p>
    <w:p w14:paraId="4A48C69C" w14:textId="6BC175C0" w:rsidR="00D26D91" w:rsidRDefault="005140EC" w:rsidP="005140EC">
      <w:pPr>
        <w:pStyle w:val="NormalWeb"/>
        <w:spacing w:before="0" w:beforeAutospacing="0" w:after="0"/>
        <w:ind w:firstLine="708"/>
        <w:rPr>
          <w:rFonts w:ascii="Century schoolbook" w:hAnsi="Century schoolbook"/>
          <w:color w:val="111111"/>
          <w:sz w:val="20"/>
          <w:szCs w:val="20"/>
        </w:rPr>
      </w:pPr>
      <w:r w:rsidRPr="005140EC">
        <w:rPr>
          <w:rFonts w:ascii="Century schoolbook" w:hAnsi="Century schoolbook"/>
          <w:color w:val="111111"/>
          <w:sz w:val="20"/>
          <w:szCs w:val="20"/>
        </w:rPr>
        <w:t>Classe de première générale ou technologique, durée 45min sans la troisième partie</w:t>
      </w:r>
    </w:p>
    <w:p w14:paraId="7204C3DB" w14:textId="77777777" w:rsidR="005140EC" w:rsidRPr="005140EC" w:rsidRDefault="005140EC" w:rsidP="005140EC">
      <w:pPr>
        <w:pStyle w:val="NormalWeb"/>
        <w:spacing w:before="0" w:beforeAutospacing="0" w:after="0"/>
        <w:ind w:firstLine="708"/>
        <w:rPr>
          <w:rFonts w:ascii="Century schoolbook" w:hAnsi="Century schoolbook"/>
          <w:sz w:val="20"/>
          <w:szCs w:val="20"/>
        </w:rPr>
      </w:pPr>
    </w:p>
    <w:p w14:paraId="308ABD91" w14:textId="433102E4" w:rsidR="00EF1FCA" w:rsidRPr="005140EC" w:rsidRDefault="00EF1FCA" w:rsidP="005140EC">
      <w:pPr>
        <w:pStyle w:val="NormalWeb"/>
        <w:spacing w:before="0" w:beforeAutospacing="0" w:after="0"/>
        <w:rPr>
          <w:rFonts w:ascii="Century schoolbook" w:hAnsi="Century schoolbook"/>
          <w:b/>
          <w:bCs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 xml:space="preserve">● </w:t>
      </w:r>
      <w:r w:rsidRPr="005140EC">
        <w:rPr>
          <w:rFonts w:ascii="Century schoolbook" w:hAnsi="Century schoolbook"/>
          <w:b/>
          <w:bCs/>
          <w:sz w:val="20"/>
          <w:szCs w:val="20"/>
        </w:rPr>
        <w:t>Présentation et objectifs :</w:t>
      </w:r>
    </w:p>
    <w:p w14:paraId="2718C26F" w14:textId="0D78BC71" w:rsidR="00D26D91" w:rsidRDefault="00AC661C" w:rsidP="005140EC">
      <w:pPr>
        <w:pStyle w:val="NormalWeb"/>
        <w:spacing w:before="0" w:beforeAutospacing="0" w:after="0"/>
        <w:ind w:left="708"/>
        <w:rPr>
          <w:rFonts w:ascii="Century schoolbook" w:hAnsi="Century schoolbook"/>
          <w:i/>
          <w:iCs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 xml:space="preserve">Activité d’introduction </w:t>
      </w:r>
      <w:r w:rsidR="00536ACB" w:rsidRPr="005140EC">
        <w:rPr>
          <w:rFonts w:ascii="Century schoolbook" w:hAnsi="Century schoolbook"/>
          <w:sz w:val="20"/>
          <w:szCs w:val="20"/>
        </w:rPr>
        <w:t xml:space="preserve">à la notion de variable aléatoire, en </w:t>
      </w:r>
      <w:r w:rsidRPr="005140EC">
        <w:rPr>
          <w:rFonts w:ascii="Century schoolbook" w:hAnsi="Century schoolbook"/>
          <w:sz w:val="20"/>
          <w:szCs w:val="20"/>
        </w:rPr>
        <w:t>étudiant le jeu « </w:t>
      </w:r>
      <w:proofErr w:type="spellStart"/>
      <w:r w:rsidRPr="005140EC">
        <w:rPr>
          <w:rFonts w:ascii="Century schoolbook" w:hAnsi="Century schoolbook"/>
          <w:sz w:val="20"/>
          <w:szCs w:val="20"/>
        </w:rPr>
        <w:t>Can’t</w:t>
      </w:r>
      <w:proofErr w:type="spellEnd"/>
      <w:r w:rsidRPr="005140EC">
        <w:rPr>
          <w:rFonts w:ascii="Century schoolbook" w:hAnsi="Century schoolbook"/>
          <w:sz w:val="20"/>
          <w:szCs w:val="20"/>
        </w:rPr>
        <w:t xml:space="preserve"> Stop »</w:t>
      </w:r>
      <w:r w:rsidR="00EF1FCA" w:rsidRPr="005140EC">
        <w:rPr>
          <w:rFonts w:ascii="Century schoolbook" w:hAnsi="Century schoolbook"/>
          <w:sz w:val="20"/>
          <w:szCs w:val="20"/>
        </w:rPr>
        <w:t>.</w:t>
      </w:r>
      <w:r w:rsidRPr="005140EC">
        <w:rPr>
          <w:rFonts w:ascii="Century schoolbook" w:hAnsi="Century schoolbook"/>
          <w:sz w:val="20"/>
          <w:szCs w:val="20"/>
        </w:rPr>
        <w:t xml:space="preserve"> </w:t>
      </w:r>
      <w:r w:rsidRPr="005140EC">
        <w:rPr>
          <w:rFonts w:ascii="Century schoolbook" w:hAnsi="Century schoolbook"/>
          <w:sz w:val="20"/>
          <w:szCs w:val="20"/>
        </w:rPr>
        <w:br/>
      </w:r>
      <w:r w:rsidRPr="005140EC">
        <w:rPr>
          <w:rFonts w:ascii="Century schoolbook" w:hAnsi="Century schoolbook"/>
          <w:i/>
          <w:iCs/>
          <w:sz w:val="20"/>
          <w:szCs w:val="20"/>
        </w:rPr>
        <w:t xml:space="preserve">(Auteur : Sid </w:t>
      </w:r>
      <w:proofErr w:type="spellStart"/>
      <w:r w:rsidRPr="005140EC">
        <w:rPr>
          <w:rFonts w:ascii="Century schoolbook" w:hAnsi="Century schoolbook"/>
          <w:i/>
          <w:iCs/>
          <w:sz w:val="20"/>
          <w:szCs w:val="20"/>
        </w:rPr>
        <w:t>Sackson</w:t>
      </w:r>
      <w:proofErr w:type="spellEnd"/>
      <w:r w:rsidRPr="005140EC">
        <w:rPr>
          <w:rFonts w:ascii="Century schoolbook" w:hAnsi="Century schoolbook"/>
          <w:i/>
          <w:iCs/>
          <w:sz w:val="20"/>
          <w:szCs w:val="20"/>
        </w:rPr>
        <w:t>, date de 1</w:t>
      </w:r>
      <w:r w:rsidRPr="005140EC">
        <w:rPr>
          <w:rFonts w:ascii="Century schoolbook" w:hAnsi="Century schoolbook"/>
          <w:i/>
          <w:iCs/>
          <w:sz w:val="20"/>
          <w:szCs w:val="20"/>
          <w:vertAlign w:val="superscript"/>
        </w:rPr>
        <w:t>ère</w:t>
      </w:r>
      <w:r w:rsidRPr="005140EC">
        <w:rPr>
          <w:rFonts w:ascii="Century schoolbook" w:hAnsi="Century schoolbook"/>
          <w:i/>
          <w:iCs/>
          <w:sz w:val="20"/>
          <w:szCs w:val="20"/>
        </w:rPr>
        <w:t xml:space="preserve"> édition : 1981, éditeur : Miro Meccano)</w:t>
      </w:r>
    </w:p>
    <w:p w14:paraId="20454530" w14:textId="77777777" w:rsidR="005140EC" w:rsidRPr="005140EC" w:rsidRDefault="005140EC" w:rsidP="005140EC">
      <w:pPr>
        <w:pStyle w:val="NormalWeb"/>
        <w:spacing w:before="0" w:beforeAutospacing="0" w:after="0"/>
        <w:ind w:left="708"/>
        <w:rPr>
          <w:rFonts w:ascii="Century schoolbook" w:hAnsi="Century schoolbook"/>
          <w:sz w:val="20"/>
          <w:szCs w:val="20"/>
        </w:rPr>
      </w:pPr>
    </w:p>
    <w:p w14:paraId="0AC93DF6" w14:textId="2801A6E7" w:rsidR="005140EC" w:rsidRPr="005140EC" w:rsidRDefault="005140EC" w:rsidP="005140EC">
      <w:pPr>
        <w:pStyle w:val="NormalWeb"/>
        <w:spacing w:before="0" w:beforeAutospacing="0" w:after="0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 xml:space="preserve">● </w:t>
      </w:r>
      <w:r w:rsidRPr="005140EC">
        <w:rPr>
          <w:rFonts w:ascii="Century schoolbook" w:hAnsi="Century schoolbook"/>
          <w:b/>
          <w:bCs/>
          <w:sz w:val="20"/>
          <w:szCs w:val="20"/>
        </w:rPr>
        <w:t xml:space="preserve">Présentation </w:t>
      </w:r>
      <w:r w:rsidRPr="005140EC">
        <w:rPr>
          <w:rFonts w:ascii="Century schoolbook" w:hAnsi="Century schoolbook"/>
          <w:b/>
          <w:bCs/>
          <w:sz w:val="20"/>
          <w:szCs w:val="20"/>
        </w:rPr>
        <w:t>de la situation</w:t>
      </w:r>
      <w:r w:rsidRPr="005140EC">
        <w:rPr>
          <w:rFonts w:ascii="Century schoolbook" w:hAnsi="Century schoolbook"/>
          <w:sz w:val="20"/>
          <w:szCs w:val="20"/>
        </w:rPr>
        <w:t xml:space="preserve"> </w:t>
      </w:r>
      <w:r w:rsidRPr="005140EC">
        <w:rPr>
          <w:rFonts w:ascii="Century schoolbook" w:hAnsi="Century schoolbook"/>
          <w:sz w:val="20"/>
          <w:szCs w:val="20"/>
        </w:rPr>
        <w:t>:</w:t>
      </w:r>
    </w:p>
    <w:p w14:paraId="4B4465D1" w14:textId="77777777" w:rsidR="005140EC" w:rsidRPr="005140EC" w:rsidRDefault="00EF1FCA" w:rsidP="005140EC">
      <w:pPr>
        <w:pStyle w:val="NormalWeb"/>
        <w:spacing w:before="0" w:beforeAutospacing="0" w:after="0"/>
        <w:ind w:left="709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 xml:space="preserve"> </w:t>
      </w:r>
      <w:r w:rsidR="005140EC" w:rsidRPr="005140EC">
        <w:rPr>
          <w:rFonts w:ascii="Century schoolbook" w:hAnsi="Century schoolbook"/>
          <w:sz w:val="20"/>
          <w:szCs w:val="20"/>
        </w:rPr>
        <w:t xml:space="preserve">Chaque élève étudie son document, puis le travail peut être personnel ou par groupe. Seule la partie 3 nécessite d’être sur un poste informatique. </w:t>
      </w:r>
    </w:p>
    <w:p w14:paraId="1A02E7DB" w14:textId="77777777" w:rsidR="005140EC" w:rsidRPr="005140EC" w:rsidRDefault="005140EC" w:rsidP="005140EC">
      <w:pPr>
        <w:pStyle w:val="NormalWeb"/>
        <w:spacing w:before="0" w:beforeAutospacing="0" w:after="0"/>
        <w:ind w:left="709"/>
        <w:rPr>
          <w:rFonts w:ascii="Century schoolbook" w:hAnsi="Century schoolbook"/>
          <w:sz w:val="20"/>
          <w:szCs w:val="20"/>
        </w:rPr>
      </w:pPr>
    </w:p>
    <w:p w14:paraId="7C8589BB" w14:textId="685EC5D6" w:rsidR="005140EC" w:rsidRPr="005140EC" w:rsidRDefault="005140EC" w:rsidP="005140EC">
      <w:pPr>
        <w:pStyle w:val="NormalWeb"/>
        <w:spacing w:before="0" w:beforeAutospacing="0" w:after="0"/>
        <w:ind w:left="720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b/>
          <w:bCs/>
          <w:i/>
          <w:iCs/>
          <w:sz w:val="20"/>
          <w:szCs w:val="20"/>
        </w:rPr>
        <w:t>Étude</w:t>
      </w:r>
      <w:r w:rsidRPr="005140EC">
        <w:rPr>
          <w:rFonts w:ascii="Century schoolbook" w:hAnsi="Century schoolbook"/>
          <w:b/>
          <w:bCs/>
          <w:i/>
          <w:iCs/>
          <w:sz w:val="20"/>
          <w:szCs w:val="20"/>
        </w:rPr>
        <w:t xml:space="preserve"> 1 :</w:t>
      </w:r>
      <w:r w:rsidRPr="005140EC">
        <w:rPr>
          <w:rFonts w:ascii="Century schoolbook" w:hAnsi="Century schoolbook"/>
          <w:sz w:val="20"/>
          <w:szCs w:val="20"/>
        </w:rPr>
        <w:t xml:space="preserve"> (25 minutes) </w:t>
      </w:r>
      <w:r w:rsidRPr="005140EC">
        <w:rPr>
          <w:rFonts w:ascii="Century schoolbook" w:hAnsi="Century schoolbook"/>
          <w:sz w:val="20"/>
          <w:szCs w:val="20"/>
        </w:rPr>
        <w:t>Étude</w:t>
      </w:r>
      <w:r w:rsidRPr="005140EC">
        <w:rPr>
          <w:rFonts w:ascii="Century schoolbook" w:hAnsi="Century schoolbook"/>
          <w:sz w:val="20"/>
          <w:szCs w:val="20"/>
        </w:rPr>
        <w:t xml:space="preserve"> du lancer de deux dés :</w:t>
      </w:r>
    </w:p>
    <w:p w14:paraId="2A01CE96" w14:textId="2B6C35B1" w:rsidR="005140EC" w:rsidRPr="005140EC" w:rsidRDefault="005140EC" w:rsidP="005140EC">
      <w:pPr>
        <w:pStyle w:val="NormalWeb"/>
        <w:spacing w:before="0" w:beforeAutospacing="0" w:after="0"/>
        <w:ind w:left="709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Étudier</w:t>
      </w:r>
      <w:r w:rsidRPr="005140EC">
        <w:rPr>
          <w:rFonts w:ascii="Century schoolbook" w:hAnsi="Century schoolbook"/>
          <w:sz w:val="20"/>
          <w:szCs w:val="20"/>
        </w:rPr>
        <w:t xml:space="preserve"> la loi de probabilité d’une variable aléatoire calculant la somme de deux dés. Il faut laisser les élèves chercher et faire émerger les solutions de modélisation : tableau, arbre…</w:t>
      </w:r>
      <w:r w:rsidRPr="005140EC">
        <w:rPr>
          <w:rFonts w:ascii="Century schoolbook" w:hAnsi="Century schoolbook"/>
          <w:sz w:val="20"/>
          <w:szCs w:val="20"/>
        </w:rPr>
        <w:br/>
        <w:t xml:space="preserve">Mise en commun des résultats : tableau de la loi de probabilité. </w:t>
      </w:r>
      <w:r w:rsidRPr="005140EC">
        <w:rPr>
          <w:rFonts w:ascii="Century schoolbook" w:hAnsi="Century schoolbook"/>
          <w:sz w:val="20"/>
          <w:szCs w:val="20"/>
        </w:rPr>
        <w:br/>
        <w:t xml:space="preserve">Insister sur le vocabulaire (variable aléatoire, loi de probabilité) </w:t>
      </w:r>
      <w:r w:rsidRPr="005140EC">
        <w:rPr>
          <w:rFonts w:ascii="Century schoolbook" w:hAnsi="Century schoolbook"/>
          <w:sz w:val="20"/>
          <w:szCs w:val="20"/>
        </w:rPr>
        <w:br/>
        <w:t>Calcul intuitif de l’espérance, qui peut être prolongé par le calcul formel.</w:t>
      </w:r>
      <w:r w:rsidRPr="005140EC">
        <w:rPr>
          <w:rFonts w:ascii="Century schoolbook" w:hAnsi="Century schoolbook"/>
          <w:sz w:val="20"/>
          <w:szCs w:val="20"/>
        </w:rPr>
        <w:br/>
      </w:r>
    </w:p>
    <w:p w14:paraId="225F0984" w14:textId="5342C282" w:rsidR="005140EC" w:rsidRPr="005140EC" w:rsidRDefault="005140EC" w:rsidP="005140EC">
      <w:pPr>
        <w:pStyle w:val="NormalWeb"/>
        <w:spacing w:before="0" w:beforeAutospacing="0" w:after="0"/>
        <w:ind w:left="709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b/>
          <w:bCs/>
          <w:i/>
          <w:iCs/>
          <w:sz w:val="20"/>
          <w:szCs w:val="20"/>
        </w:rPr>
        <w:t>Étude</w:t>
      </w:r>
      <w:r w:rsidRPr="005140EC">
        <w:rPr>
          <w:rFonts w:ascii="Century schoolbook" w:hAnsi="Century schoolbook"/>
          <w:b/>
          <w:bCs/>
          <w:i/>
          <w:iCs/>
          <w:sz w:val="20"/>
          <w:szCs w:val="20"/>
        </w:rPr>
        <w:t xml:space="preserve"> 2 :</w:t>
      </w:r>
      <w:r w:rsidRPr="005140EC">
        <w:rPr>
          <w:rFonts w:ascii="Century schoolbook" w:hAnsi="Century schoolbook"/>
          <w:sz w:val="20"/>
          <w:szCs w:val="20"/>
        </w:rPr>
        <w:t xml:space="preserve"> (20 minutes) comparer les probabilités aux fréquences observées sur le plateau. </w:t>
      </w:r>
    </w:p>
    <w:p w14:paraId="32FCC932" w14:textId="77777777" w:rsidR="005140EC" w:rsidRPr="005140EC" w:rsidRDefault="005140EC" w:rsidP="005140EC">
      <w:pPr>
        <w:pStyle w:val="NormalWeb"/>
        <w:spacing w:before="0" w:beforeAutospacing="0" w:after="0"/>
        <w:ind w:firstLine="709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 xml:space="preserve">Comparaison des fréquences : </w:t>
      </w:r>
    </w:p>
    <w:p w14:paraId="26BF5E81" w14:textId="77777777" w:rsidR="005140EC" w:rsidRPr="005140EC" w:rsidRDefault="005140EC" w:rsidP="005140EC">
      <w:pPr>
        <w:pStyle w:val="NormalWeb"/>
        <w:spacing w:before="0" w:beforeAutospacing="0" w:after="0"/>
        <w:ind w:firstLine="709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 xml:space="preserve">– Projeter le plateau pour un calcul plus facile (support </w:t>
      </w:r>
      <w:proofErr w:type="spellStart"/>
      <w:r w:rsidRPr="005140EC">
        <w:rPr>
          <w:rFonts w:ascii="Century schoolbook" w:hAnsi="Century schoolbook"/>
          <w:sz w:val="20"/>
          <w:szCs w:val="20"/>
        </w:rPr>
        <w:t>ppt</w:t>
      </w:r>
      <w:proofErr w:type="spellEnd"/>
      <w:r w:rsidRPr="005140EC">
        <w:rPr>
          <w:rFonts w:ascii="Century schoolbook" w:hAnsi="Century schoolbook"/>
          <w:sz w:val="20"/>
          <w:szCs w:val="20"/>
        </w:rPr>
        <w:t>).</w:t>
      </w:r>
    </w:p>
    <w:p w14:paraId="16993E74" w14:textId="77777777" w:rsidR="005140EC" w:rsidRPr="005140EC" w:rsidRDefault="005140EC" w:rsidP="005140EC">
      <w:pPr>
        <w:pStyle w:val="NormalWeb"/>
        <w:spacing w:before="0" w:beforeAutospacing="0" w:after="0"/>
        <w:ind w:left="1418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– L’analyse des résultats bruts peut être difficile. Les valeurs obtenues sont très proches, voilà pourquoi le plateau de jeu est ainsi constitué.</w:t>
      </w:r>
      <w:r w:rsidRPr="005140EC">
        <w:rPr>
          <w:rFonts w:ascii="Century schoolbook" w:hAnsi="Century schoolbook"/>
          <w:sz w:val="20"/>
          <w:szCs w:val="20"/>
        </w:rPr>
        <w:br/>
        <w:t>– Utiliser un logiciel pour établir une comparaison graphique des données (nuage de points, diagramme en barre)</w:t>
      </w:r>
      <w:r w:rsidRPr="005140EC">
        <w:rPr>
          <w:rFonts w:ascii="Century schoolbook" w:hAnsi="Century schoolbook"/>
          <w:sz w:val="20"/>
          <w:szCs w:val="20"/>
        </w:rPr>
        <w:br/>
        <w:t xml:space="preserve">– Commencer par expliquer que, les résultats étant globalement dans le même ordre de grandeur, il n’y aura pas de piste nettement plus avantagée qu’une autre. </w:t>
      </w:r>
      <w:proofErr w:type="gramStart"/>
      <w:r w:rsidRPr="005140EC">
        <w:rPr>
          <w:rFonts w:ascii="Century schoolbook" w:hAnsi="Century schoolbook"/>
          <w:sz w:val="20"/>
          <w:szCs w:val="20"/>
        </w:rPr>
        <w:t>Par contre</w:t>
      </w:r>
      <w:proofErr w:type="gramEnd"/>
      <w:r w:rsidRPr="005140EC">
        <w:rPr>
          <w:rFonts w:ascii="Century schoolbook" w:hAnsi="Century schoolbook"/>
          <w:sz w:val="20"/>
          <w:szCs w:val="20"/>
        </w:rPr>
        <w:t xml:space="preserve"> les légers écarts des 5/6-8/9 avec d’autres sont interprétables : ces pistes peuvent être privilégiées pour espérer gagner.</w:t>
      </w:r>
      <w:r w:rsidRPr="005140EC">
        <w:rPr>
          <w:rFonts w:ascii="Century schoolbook" w:hAnsi="Century schoolbook"/>
          <w:sz w:val="20"/>
          <w:szCs w:val="20"/>
        </w:rPr>
        <w:br/>
        <w:t>– Attirer l’attention sur le fait que les véritables règles du jeu étant différentes (lancers de 4 dés et choix des couples), la modélisation complète est plus compliquée.</w:t>
      </w:r>
    </w:p>
    <w:p w14:paraId="0FFD957A" w14:textId="77777777" w:rsidR="005140EC" w:rsidRPr="005140EC" w:rsidRDefault="005140EC" w:rsidP="005140EC">
      <w:pPr>
        <w:pStyle w:val="NormalWeb"/>
        <w:spacing w:before="0" w:beforeAutospacing="0" w:after="0"/>
        <w:rPr>
          <w:rFonts w:ascii="Century schoolbook" w:hAnsi="Century schoolbook"/>
          <w:sz w:val="20"/>
          <w:szCs w:val="20"/>
        </w:rPr>
      </w:pPr>
    </w:p>
    <w:p w14:paraId="0E5C18AE" w14:textId="08ED6327" w:rsidR="005140EC" w:rsidRPr="005140EC" w:rsidRDefault="005140EC" w:rsidP="005140EC">
      <w:pPr>
        <w:pStyle w:val="NormalWeb"/>
        <w:spacing w:before="0" w:beforeAutospacing="0" w:after="0"/>
        <w:ind w:firstLine="709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b/>
          <w:bCs/>
          <w:i/>
          <w:iCs/>
          <w:sz w:val="20"/>
          <w:szCs w:val="20"/>
        </w:rPr>
        <w:t>Étude</w:t>
      </w:r>
      <w:r w:rsidRPr="005140EC">
        <w:rPr>
          <w:rFonts w:ascii="Century schoolbook" w:hAnsi="Century schoolbook"/>
          <w:b/>
          <w:bCs/>
          <w:i/>
          <w:iCs/>
          <w:sz w:val="20"/>
          <w:szCs w:val="20"/>
        </w:rPr>
        <w:t xml:space="preserve"> 3 : </w:t>
      </w:r>
      <w:r w:rsidRPr="005140EC">
        <w:rPr>
          <w:rFonts w:ascii="Century schoolbook" w:hAnsi="Century schoolbook"/>
          <w:sz w:val="20"/>
          <w:szCs w:val="20"/>
        </w:rPr>
        <w:t xml:space="preserve">Avec Python sur </w:t>
      </w:r>
      <w:proofErr w:type="spellStart"/>
      <w:r w:rsidRPr="005140EC">
        <w:rPr>
          <w:rFonts w:ascii="Century schoolbook" w:hAnsi="Century schoolbook"/>
          <w:sz w:val="20"/>
          <w:szCs w:val="20"/>
        </w:rPr>
        <w:t>Capytale</w:t>
      </w:r>
      <w:proofErr w:type="spellEnd"/>
    </w:p>
    <w:p w14:paraId="7E2B76E4" w14:textId="77777777" w:rsidR="005140EC" w:rsidRPr="005140EC" w:rsidRDefault="005140EC" w:rsidP="005140EC">
      <w:pPr>
        <w:pStyle w:val="NormalWeb"/>
        <w:spacing w:before="0" w:beforeAutospacing="0" w:after="0"/>
        <w:ind w:left="709" w:firstLine="709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Disposer d’un identifiant de compte académique (</w:t>
      </w:r>
      <w:proofErr w:type="spellStart"/>
      <w:r w:rsidRPr="005140EC">
        <w:rPr>
          <w:rFonts w:ascii="Century schoolbook" w:hAnsi="Century schoolbook"/>
          <w:sz w:val="20"/>
          <w:szCs w:val="20"/>
        </w:rPr>
        <w:t>Toutatice</w:t>
      </w:r>
      <w:proofErr w:type="spellEnd"/>
      <w:r w:rsidRPr="005140EC">
        <w:rPr>
          <w:rFonts w:ascii="Century schoolbook" w:hAnsi="Century schoolbook"/>
          <w:sz w:val="20"/>
          <w:szCs w:val="20"/>
        </w:rPr>
        <w:t xml:space="preserve">) est nécessaire. </w:t>
      </w:r>
    </w:p>
    <w:p w14:paraId="559730ED" w14:textId="6DDB5A2D" w:rsidR="00EF1FCA" w:rsidRDefault="005140EC" w:rsidP="005140EC">
      <w:pPr>
        <w:pStyle w:val="NormalWeb"/>
        <w:spacing w:before="0" w:beforeAutospacing="0" w:after="0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 xml:space="preserve">L’activité est une activité de simulation qui utilise des listes. Elle peut servir pour l’introduction du formalisme les concernant. Un memento qui résume l’essentiel </w:t>
      </w:r>
      <w:r w:rsidRPr="005140EC">
        <w:rPr>
          <w:rFonts w:ascii="Century schoolbook" w:hAnsi="Century schoolbook"/>
          <w:sz w:val="20"/>
          <w:szCs w:val="20"/>
        </w:rPr>
        <w:t>des commandes</w:t>
      </w:r>
      <w:r w:rsidRPr="005140EC">
        <w:rPr>
          <w:rFonts w:ascii="Century schoolbook" w:hAnsi="Century schoolbook"/>
          <w:sz w:val="20"/>
          <w:szCs w:val="20"/>
        </w:rPr>
        <w:t xml:space="preserve"> à connaître</w:t>
      </w:r>
    </w:p>
    <w:p w14:paraId="1C945EE8" w14:textId="77777777" w:rsidR="005140EC" w:rsidRPr="005140EC" w:rsidRDefault="005140EC" w:rsidP="005140EC">
      <w:pPr>
        <w:pStyle w:val="NormalWeb"/>
        <w:spacing w:before="0" w:beforeAutospacing="0" w:after="0"/>
        <w:rPr>
          <w:rFonts w:ascii="Century schoolbook" w:hAnsi="Century schoolbook"/>
          <w:sz w:val="20"/>
          <w:szCs w:val="20"/>
        </w:rPr>
      </w:pPr>
    </w:p>
    <w:p w14:paraId="243CD85B" w14:textId="77777777" w:rsidR="00EF1FCA" w:rsidRDefault="00EF1FCA" w:rsidP="005140EC">
      <w:pPr>
        <w:pStyle w:val="NormalWeb"/>
        <w:spacing w:before="0" w:beforeAutospacing="0" w:after="0"/>
        <w:rPr>
          <w:rFonts w:ascii="Century schoolbook" w:hAnsi="Century schoolbook"/>
          <w:b/>
          <w:bCs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 xml:space="preserve">● </w:t>
      </w:r>
      <w:r w:rsidRPr="005140EC">
        <w:rPr>
          <w:rFonts w:ascii="Century schoolbook" w:hAnsi="Century schoolbook"/>
          <w:b/>
          <w:bCs/>
          <w:sz w:val="20"/>
          <w:szCs w:val="20"/>
        </w:rPr>
        <w:t>Dans les programmes du niveau visé :</w:t>
      </w:r>
    </w:p>
    <w:p w14:paraId="002269B7" w14:textId="77777777" w:rsidR="005140EC" w:rsidRPr="005140EC" w:rsidRDefault="005140EC" w:rsidP="005140EC">
      <w:pPr>
        <w:pStyle w:val="NormalWeb"/>
        <w:spacing w:before="0" w:beforeAutospacing="0" w:after="0"/>
        <w:rPr>
          <w:rFonts w:ascii="Century schoolbook" w:hAnsi="Century schoolbook"/>
          <w:b/>
          <w:bCs/>
          <w:sz w:val="20"/>
          <w:szCs w:val="20"/>
        </w:rPr>
      </w:pPr>
    </w:p>
    <w:p w14:paraId="7B7594D8" w14:textId="77777777" w:rsidR="005140EC" w:rsidRPr="005140EC" w:rsidRDefault="005140EC" w:rsidP="005140EC">
      <w:pPr>
        <w:pStyle w:val="NormalWeb"/>
        <w:spacing w:before="0" w:beforeAutospacing="0" w:after="0"/>
        <w:ind w:left="720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  <w:u w:val="single"/>
        </w:rPr>
        <w:t>Contenus :</w:t>
      </w:r>
    </w:p>
    <w:p w14:paraId="68DC0AFE" w14:textId="77777777" w:rsidR="005140EC" w:rsidRPr="005140EC" w:rsidRDefault="005140EC" w:rsidP="005140EC">
      <w:pPr>
        <w:pStyle w:val="NormalWeb"/>
        <w:numPr>
          <w:ilvl w:val="1"/>
          <w:numId w:val="1"/>
        </w:numPr>
        <w:spacing w:before="0" w:beforeAutospacing="0" w:after="0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Notion de variable aléatoire discrète.</w:t>
      </w:r>
    </w:p>
    <w:p w14:paraId="5C9E9B19" w14:textId="77777777" w:rsidR="005140EC" w:rsidRPr="005140EC" w:rsidRDefault="005140EC" w:rsidP="005140EC">
      <w:pPr>
        <w:pStyle w:val="NormalWeb"/>
        <w:numPr>
          <w:ilvl w:val="1"/>
          <w:numId w:val="1"/>
        </w:numPr>
        <w:spacing w:before="0" w:beforeAutospacing="0" w:after="0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Utiliser un tableau à double entrée pour modéliser les résultats d’une expérience aléatoire.</w:t>
      </w:r>
    </w:p>
    <w:p w14:paraId="4BB0EC57" w14:textId="77777777" w:rsidR="005140EC" w:rsidRPr="005140EC" w:rsidRDefault="005140EC" w:rsidP="005140EC">
      <w:pPr>
        <w:pStyle w:val="NormalWeb"/>
        <w:numPr>
          <w:ilvl w:val="1"/>
          <w:numId w:val="1"/>
        </w:numPr>
        <w:spacing w:before="0" w:beforeAutospacing="0" w:after="0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Tableau de la loi de probabilité suivie par une variable aléatoire discrète.</w:t>
      </w:r>
    </w:p>
    <w:p w14:paraId="5D67B2C6" w14:textId="77777777" w:rsidR="005140EC" w:rsidRPr="005140EC" w:rsidRDefault="005140EC" w:rsidP="005140EC">
      <w:pPr>
        <w:pStyle w:val="NormalWeb"/>
        <w:numPr>
          <w:ilvl w:val="1"/>
          <w:numId w:val="1"/>
        </w:numPr>
        <w:spacing w:before="0" w:beforeAutospacing="0" w:after="0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Calculer une espérance (et un écart-type).</w:t>
      </w:r>
    </w:p>
    <w:p w14:paraId="6E4248B8" w14:textId="77777777" w:rsidR="005140EC" w:rsidRDefault="005140EC" w:rsidP="005140EC">
      <w:pPr>
        <w:pStyle w:val="NormalWeb"/>
        <w:numPr>
          <w:ilvl w:val="1"/>
          <w:numId w:val="1"/>
        </w:numPr>
        <w:spacing w:before="0" w:beforeAutospacing="0" w:after="0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Listes en python</w:t>
      </w:r>
    </w:p>
    <w:p w14:paraId="474CD827" w14:textId="77777777" w:rsidR="005140EC" w:rsidRPr="005140EC" w:rsidRDefault="005140EC" w:rsidP="005140EC">
      <w:pPr>
        <w:pStyle w:val="NormalWeb"/>
        <w:spacing w:before="0" w:beforeAutospacing="0" w:after="0"/>
        <w:ind w:left="1440"/>
        <w:rPr>
          <w:rFonts w:ascii="Century schoolbook" w:hAnsi="Century schoolbook"/>
          <w:sz w:val="20"/>
          <w:szCs w:val="20"/>
        </w:rPr>
      </w:pPr>
    </w:p>
    <w:p w14:paraId="00218749" w14:textId="77777777" w:rsidR="005140EC" w:rsidRPr="005140EC" w:rsidRDefault="005140EC" w:rsidP="005140EC">
      <w:pPr>
        <w:pStyle w:val="NormalWeb"/>
        <w:spacing w:before="0" w:beforeAutospacing="0" w:after="0"/>
        <w:ind w:firstLine="708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  <w:u w:val="single"/>
        </w:rPr>
        <w:t>Capacités attendues :</w:t>
      </w:r>
    </w:p>
    <w:p w14:paraId="214FBAB0" w14:textId="77777777" w:rsidR="005140EC" w:rsidRPr="005140EC" w:rsidRDefault="005140EC" w:rsidP="005140EC">
      <w:pPr>
        <w:pStyle w:val="NormalWeb"/>
        <w:numPr>
          <w:ilvl w:val="0"/>
          <w:numId w:val="2"/>
        </w:numPr>
        <w:spacing w:before="0" w:beforeAutospacing="0" w:after="0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 xml:space="preserve">Probabilités : </w:t>
      </w:r>
    </w:p>
    <w:p w14:paraId="0AB9AA24" w14:textId="5D918BB6" w:rsidR="005140EC" w:rsidRPr="005140EC" w:rsidRDefault="005140EC" w:rsidP="005140EC">
      <w:pPr>
        <w:pStyle w:val="NormalWeb"/>
        <w:spacing w:before="0" w:beforeAutospacing="0" w:after="0"/>
        <w:ind w:left="1776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 xml:space="preserve">– Interpréter des situations et calculer des probabilités en utilisant les </w:t>
      </w:r>
      <w:r w:rsidRPr="005140EC">
        <w:rPr>
          <w:rFonts w:ascii="Century schoolbook" w:hAnsi="Century schoolbook"/>
          <w:sz w:val="20"/>
          <w:szCs w:val="20"/>
        </w:rPr>
        <w:t xml:space="preserve">notations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X=a</m:t>
            </m:r>
          </m:e>
        </m:d>
      </m:oMath>
      <w:r w:rsidRPr="005140EC">
        <w:rPr>
          <w:rFonts w:ascii="Century schoolbook" w:hAnsi="Century schoolbook"/>
          <w:sz w:val="20"/>
          <w:szCs w:val="20"/>
        </w:rPr>
        <w:t xml:space="preserve">,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X≤a</m:t>
            </m:r>
          </m:e>
        </m:d>
      </m:oMath>
      <w:r w:rsidRPr="005140EC">
        <w:rPr>
          <w:rFonts w:ascii="Century schoolbook" w:hAnsi="Century schoolbook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P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X=a</m:t>
            </m:r>
          </m:e>
        </m:d>
      </m:oMath>
      <w:r w:rsidRPr="005140EC">
        <w:rPr>
          <w:rFonts w:ascii="Century schoolbook" w:hAnsi="Century schoolbook"/>
          <w:sz w:val="20"/>
          <w:szCs w:val="20"/>
        </w:rPr>
        <w:t xml:space="preserve">, </w:t>
      </w:r>
      <m:oMath>
        <m:r>
          <w:rPr>
            <w:rFonts w:ascii="Cambria Math" w:hAnsi="Cambria Math"/>
            <w:sz w:val="20"/>
            <w:szCs w:val="20"/>
          </w:rPr>
          <m:t>P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X≤a</m:t>
            </m:r>
          </m:e>
        </m:d>
      </m:oMath>
      <w:r w:rsidRPr="005140EC">
        <w:rPr>
          <w:rFonts w:ascii="Century schoolbook" w:hAnsi="Century schoolbook"/>
          <w:sz w:val="20"/>
          <w:szCs w:val="20"/>
        </w:rPr>
        <w:t>.</w:t>
      </w:r>
    </w:p>
    <w:p w14:paraId="0FC0CB6C" w14:textId="77777777" w:rsidR="005140EC" w:rsidRPr="005140EC" w:rsidRDefault="005140EC" w:rsidP="005140EC">
      <w:pPr>
        <w:pStyle w:val="NormalWeb"/>
        <w:spacing w:before="0" w:beforeAutospacing="0" w:after="0"/>
        <w:ind w:left="1080" w:firstLine="696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– Calculer des fréquences.</w:t>
      </w:r>
    </w:p>
    <w:p w14:paraId="7248A561" w14:textId="77777777" w:rsidR="005140EC" w:rsidRPr="005140EC" w:rsidRDefault="005140EC" w:rsidP="005140EC">
      <w:pPr>
        <w:pStyle w:val="NormalWeb"/>
        <w:spacing w:before="0" w:beforeAutospacing="0" w:after="0"/>
        <w:ind w:left="1080" w:firstLine="696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– Comparer des fréquences observées à des probabilités calculées.</w:t>
      </w:r>
    </w:p>
    <w:p w14:paraId="67FD6E73" w14:textId="77777777" w:rsidR="005140EC" w:rsidRPr="005140EC" w:rsidRDefault="005140EC" w:rsidP="005140EC">
      <w:pPr>
        <w:pStyle w:val="NormalWeb"/>
        <w:spacing w:before="0" w:beforeAutospacing="0" w:after="0"/>
        <w:ind w:left="1080" w:firstLine="696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 xml:space="preserve">– Expérimentation en option avec python sur </w:t>
      </w:r>
      <w:proofErr w:type="spellStart"/>
      <w:r w:rsidRPr="005140EC">
        <w:rPr>
          <w:rFonts w:ascii="Century schoolbook" w:hAnsi="Century schoolbook"/>
          <w:sz w:val="20"/>
          <w:szCs w:val="20"/>
        </w:rPr>
        <w:t>Capytale</w:t>
      </w:r>
      <w:proofErr w:type="spellEnd"/>
      <w:r w:rsidRPr="005140EC">
        <w:rPr>
          <w:rFonts w:ascii="Century schoolbook" w:hAnsi="Century schoolbook"/>
          <w:sz w:val="20"/>
          <w:szCs w:val="20"/>
        </w:rPr>
        <w:t>.</w:t>
      </w:r>
    </w:p>
    <w:p w14:paraId="0083277E" w14:textId="77777777" w:rsidR="005140EC" w:rsidRPr="005140EC" w:rsidRDefault="005140EC" w:rsidP="005140EC">
      <w:pPr>
        <w:pStyle w:val="NormalWeb"/>
        <w:spacing w:before="0" w:beforeAutospacing="0" w:after="0"/>
        <w:ind w:left="1080" w:firstLine="696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lastRenderedPageBreak/>
        <w:t>– Simuler une variable aléatoire avec Python</w:t>
      </w:r>
    </w:p>
    <w:p w14:paraId="428ECDF6" w14:textId="77777777" w:rsidR="005140EC" w:rsidRPr="005140EC" w:rsidRDefault="005140EC" w:rsidP="005140EC">
      <w:pPr>
        <w:pStyle w:val="NormalWeb"/>
        <w:spacing w:before="0" w:beforeAutospacing="0" w:after="0"/>
        <w:ind w:left="1776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– Lire, comprendre et écrire une fonction Python renvoyant la moyenne d’un échantillon de taille n d’une variable aléatoire.</w:t>
      </w:r>
    </w:p>
    <w:p w14:paraId="7B803141" w14:textId="77777777" w:rsidR="005140EC" w:rsidRPr="005140EC" w:rsidRDefault="005140EC" w:rsidP="005140EC">
      <w:pPr>
        <w:pStyle w:val="NormalWeb"/>
        <w:spacing w:before="0" w:beforeAutospacing="0" w:after="0"/>
        <w:ind w:left="1776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 xml:space="preserve">– Simuler, avec Python, N échantillons de taille n d’une variable aléatoire, d’espérance µ (et d’écart-type σ.) </w:t>
      </w:r>
      <w:r w:rsidRPr="005140EC">
        <w:rPr>
          <w:rFonts w:ascii="Century schoolbook" w:hAnsi="Century schoolbook"/>
          <w:sz w:val="20"/>
          <w:szCs w:val="20"/>
        </w:rPr>
        <w:br/>
      </w:r>
    </w:p>
    <w:p w14:paraId="7FEE7C93" w14:textId="77777777" w:rsidR="005140EC" w:rsidRPr="005140EC" w:rsidRDefault="005140EC" w:rsidP="005140EC">
      <w:pPr>
        <w:pStyle w:val="NormalWeb"/>
        <w:numPr>
          <w:ilvl w:val="0"/>
          <w:numId w:val="2"/>
        </w:numPr>
        <w:spacing w:before="0" w:beforeAutospacing="0" w:after="0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Algorithmique :</w:t>
      </w:r>
    </w:p>
    <w:p w14:paraId="7B2E1E3E" w14:textId="77777777" w:rsidR="005140EC" w:rsidRPr="005140EC" w:rsidRDefault="005140EC" w:rsidP="005140EC">
      <w:pPr>
        <w:pStyle w:val="NormalWeb"/>
        <w:spacing w:before="0" w:beforeAutospacing="0" w:after="0"/>
        <w:ind w:left="1080" w:firstLine="696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– Utiliser la notion de fonction</w:t>
      </w:r>
    </w:p>
    <w:p w14:paraId="334B20B1" w14:textId="77777777" w:rsidR="005140EC" w:rsidRPr="005140EC" w:rsidRDefault="005140EC" w:rsidP="005140EC">
      <w:pPr>
        <w:pStyle w:val="NormalWeb"/>
        <w:spacing w:before="0" w:beforeAutospacing="0" w:after="0"/>
        <w:ind w:left="1776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– Générer une liste, parcourir une liste, manipuler les éléments d’une liste, itérer sur les éléments d’une liste.</w:t>
      </w:r>
    </w:p>
    <w:p w14:paraId="6431FCFE" w14:textId="77777777" w:rsidR="005140EC" w:rsidRPr="005140EC" w:rsidRDefault="005140EC" w:rsidP="005140EC">
      <w:pPr>
        <w:pStyle w:val="NormalWeb"/>
        <w:spacing w:before="0" w:beforeAutospacing="0" w:after="0"/>
        <w:ind w:left="1080" w:firstLine="696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– Parcourir une liste</w:t>
      </w:r>
    </w:p>
    <w:p w14:paraId="198394A3" w14:textId="77777777" w:rsidR="005140EC" w:rsidRPr="005140EC" w:rsidRDefault="005140EC" w:rsidP="005140EC">
      <w:pPr>
        <w:pStyle w:val="NormalWeb"/>
        <w:spacing w:before="0" w:beforeAutospacing="0" w:after="0"/>
        <w:rPr>
          <w:rFonts w:ascii="Century schoolbook" w:hAnsi="Century schoolbook"/>
          <w:sz w:val="20"/>
          <w:szCs w:val="20"/>
        </w:rPr>
      </w:pPr>
    </w:p>
    <w:p w14:paraId="7F6F43C9" w14:textId="77777777" w:rsidR="0019204B" w:rsidRPr="005140EC" w:rsidRDefault="0019204B" w:rsidP="005140EC">
      <w:pPr>
        <w:spacing w:after="0" w:line="276" w:lineRule="auto"/>
        <w:rPr>
          <w:rFonts w:ascii="Century schoolbook" w:eastAsia="Times New Roman" w:hAnsi="Century schoolbook" w:cs="Times New Roman"/>
          <w:sz w:val="20"/>
          <w:szCs w:val="20"/>
          <w:lang w:eastAsia="fr-FR"/>
        </w:rPr>
      </w:pPr>
      <w:r w:rsidRPr="005140EC">
        <w:rPr>
          <w:rFonts w:ascii="Century schoolbook" w:hAnsi="Century schoolbook"/>
          <w:sz w:val="20"/>
          <w:szCs w:val="20"/>
        </w:rPr>
        <w:br w:type="page"/>
      </w:r>
    </w:p>
    <w:p w14:paraId="597BBE61" w14:textId="4519877B" w:rsidR="00EF1FCA" w:rsidRPr="005140EC" w:rsidRDefault="00EF1FCA" w:rsidP="005140EC">
      <w:pPr>
        <w:pStyle w:val="NormalWeb"/>
        <w:spacing w:before="0" w:beforeAutospacing="0" w:after="0"/>
        <w:rPr>
          <w:rFonts w:ascii="Century schoolbook" w:hAnsi="Century schoolbook"/>
          <w:b/>
          <w:bCs/>
          <w:sz w:val="20"/>
          <w:szCs w:val="20"/>
        </w:rPr>
      </w:pPr>
      <w:r w:rsidRPr="005140EC">
        <w:rPr>
          <w:rFonts w:ascii="Century schoolbook" w:hAnsi="Century schoolbook"/>
          <w:b/>
          <w:bCs/>
          <w:sz w:val="20"/>
          <w:szCs w:val="20"/>
        </w:rPr>
        <w:lastRenderedPageBreak/>
        <w:t>● Analyse a posteriori</w:t>
      </w:r>
    </w:p>
    <w:p w14:paraId="7B4382C6" w14:textId="77777777" w:rsidR="003F6BCD" w:rsidRPr="005140EC" w:rsidRDefault="003F6BCD" w:rsidP="005140EC">
      <w:pPr>
        <w:spacing w:after="0" w:line="276" w:lineRule="auto"/>
        <w:rPr>
          <w:rFonts w:ascii="Century schoolbook" w:hAnsi="Century schoolbook" w:cs="Times New Roman"/>
          <w:sz w:val="20"/>
          <w:szCs w:val="20"/>
        </w:rPr>
      </w:pPr>
    </w:p>
    <w:p w14:paraId="7BC7FDD0" w14:textId="77777777" w:rsidR="005140EC" w:rsidRPr="005140EC" w:rsidRDefault="005140EC" w:rsidP="005140EC">
      <w:pPr>
        <w:pStyle w:val="NormalWeb"/>
        <w:spacing w:before="0" w:beforeAutospacing="0" w:after="0"/>
        <w:ind w:left="720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color w:val="111111"/>
          <w:sz w:val="20"/>
          <w:szCs w:val="20"/>
        </w:rPr>
        <w:t xml:space="preserve">Quelques remarques après le test de l’activité. </w:t>
      </w:r>
    </w:p>
    <w:p w14:paraId="4260FE96" w14:textId="77777777" w:rsidR="005140EC" w:rsidRPr="005140EC" w:rsidRDefault="005140EC" w:rsidP="005140EC">
      <w:pPr>
        <w:pStyle w:val="NormalWeb"/>
        <w:spacing w:before="0" w:beforeAutospacing="0" w:after="0"/>
        <w:ind w:left="720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b/>
          <w:bCs/>
          <w:i/>
          <w:iCs/>
          <w:sz w:val="20"/>
          <w:szCs w:val="20"/>
        </w:rPr>
        <w:t>Étape 1 :</w:t>
      </w:r>
    </w:p>
    <w:p w14:paraId="1E139B3C" w14:textId="77777777" w:rsidR="005140EC" w:rsidRPr="005140EC" w:rsidRDefault="005140EC" w:rsidP="005140EC">
      <w:pPr>
        <w:pStyle w:val="NormalWeb"/>
        <w:spacing w:before="0" w:beforeAutospacing="0" w:after="0"/>
        <w:ind w:left="720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Insister sur la différence entre fréquences réellement observées et probabilités calculées.</w:t>
      </w:r>
    </w:p>
    <w:p w14:paraId="7136FEFF" w14:textId="77777777" w:rsidR="005140EC" w:rsidRPr="005140EC" w:rsidRDefault="005140EC" w:rsidP="005140EC">
      <w:pPr>
        <w:pStyle w:val="NormalWeb"/>
        <w:spacing w:before="0" w:beforeAutospacing="0" w:after="0"/>
        <w:ind w:left="1440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Activité courte ; pour les élèves les plus rapides, faire calculer l’écart-type par exemple.</w:t>
      </w:r>
    </w:p>
    <w:p w14:paraId="65E1714C" w14:textId="77777777" w:rsidR="005140EC" w:rsidRPr="005140EC" w:rsidRDefault="005140EC" w:rsidP="005140EC">
      <w:pPr>
        <w:pStyle w:val="NormalWeb"/>
        <w:spacing w:before="0" w:beforeAutospacing="0" w:after="0"/>
        <w:ind w:left="1416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 xml:space="preserve">Le site </w:t>
      </w:r>
      <w:proofErr w:type="spellStart"/>
      <w:r w:rsidRPr="005140EC">
        <w:rPr>
          <w:rFonts w:ascii="Century schoolbook" w:hAnsi="Century schoolbook"/>
          <w:sz w:val="20"/>
          <w:szCs w:val="20"/>
        </w:rPr>
        <w:t>Mathix</w:t>
      </w:r>
      <w:proofErr w:type="spellEnd"/>
      <w:r w:rsidRPr="005140EC">
        <w:rPr>
          <w:rFonts w:ascii="Century schoolbook" w:hAnsi="Century schoolbook"/>
          <w:sz w:val="20"/>
          <w:szCs w:val="20"/>
        </w:rPr>
        <w:t xml:space="preserve"> propose une simulation : </w:t>
      </w:r>
      <w:hyperlink r:id="rId5" w:history="1">
        <w:r w:rsidRPr="005140EC">
          <w:rPr>
            <w:rStyle w:val="Lienhypertexte"/>
            <w:rFonts w:ascii="Century schoolbook" w:hAnsi="Century schoolbook"/>
            <w:sz w:val="20"/>
            <w:szCs w:val="20"/>
          </w:rPr>
          <w:t>https://mathix.org/jeu-stopoucontinue/index.html</w:t>
        </w:r>
      </w:hyperlink>
      <w:r w:rsidRPr="005140EC">
        <w:rPr>
          <w:rFonts w:ascii="Century schoolbook" w:hAnsi="Century schoolbook"/>
          <w:color w:val="0563C1"/>
          <w:sz w:val="20"/>
          <w:szCs w:val="20"/>
        </w:rPr>
        <w:t xml:space="preserve"> </w:t>
      </w:r>
      <w:r w:rsidRPr="005140EC">
        <w:rPr>
          <w:rFonts w:ascii="Century schoolbook" w:hAnsi="Century schoolbook"/>
          <w:sz w:val="20"/>
          <w:szCs w:val="20"/>
        </w:rPr>
        <w:t>qui peut permette de mieux comprendre le jeu.</w:t>
      </w:r>
    </w:p>
    <w:p w14:paraId="14C469C5" w14:textId="77777777" w:rsidR="005140EC" w:rsidRPr="005140EC" w:rsidRDefault="005140EC" w:rsidP="005140EC">
      <w:pPr>
        <w:pStyle w:val="NormalWeb"/>
        <w:spacing w:before="0" w:beforeAutospacing="0" w:after="0"/>
        <w:ind w:left="1416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L’étude 1 a été complétée en 20 min. Un point peut être fait alors pour présenter la notion de variable aléatoire.</w:t>
      </w:r>
    </w:p>
    <w:p w14:paraId="4E1A7964" w14:textId="77777777" w:rsidR="005140EC" w:rsidRPr="005140EC" w:rsidRDefault="005140EC" w:rsidP="005140EC">
      <w:pPr>
        <w:pStyle w:val="NormalWeb"/>
        <w:spacing w:before="0" w:beforeAutospacing="0" w:after="0"/>
        <w:ind w:left="1440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Il semble nécessaire de détailler les calculs de probabilités, notamment passage de l’inégalité à la somme d’égalités.</w:t>
      </w:r>
    </w:p>
    <w:p w14:paraId="68AFCE76" w14:textId="77777777" w:rsidR="005140EC" w:rsidRPr="005140EC" w:rsidRDefault="005140EC" w:rsidP="005140EC">
      <w:pPr>
        <w:pStyle w:val="NormalWeb"/>
        <w:spacing w:before="0" w:beforeAutospacing="0" w:after="0"/>
        <w:ind w:left="720" w:firstLine="696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>Profiter du calcul de pour parler de l’évènement contraire.</w:t>
      </w:r>
    </w:p>
    <w:p w14:paraId="3B907C9A" w14:textId="77777777" w:rsidR="005140EC" w:rsidRPr="005140EC" w:rsidRDefault="005140EC" w:rsidP="005140EC">
      <w:pPr>
        <w:pStyle w:val="NormalWeb"/>
        <w:spacing w:before="0" w:beforeAutospacing="0" w:after="0"/>
        <w:ind w:firstLine="708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b/>
          <w:bCs/>
          <w:i/>
          <w:iCs/>
          <w:sz w:val="20"/>
          <w:szCs w:val="20"/>
        </w:rPr>
        <w:t xml:space="preserve">Étape 2 : </w:t>
      </w:r>
    </w:p>
    <w:p w14:paraId="310903D3" w14:textId="5E0277FA" w:rsidR="005140EC" w:rsidRPr="005140EC" w:rsidRDefault="005140EC" w:rsidP="005140EC">
      <w:pPr>
        <w:pStyle w:val="NormalWeb"/>
        <w:spacing w:before="0" w:beforeAutospacing="0" w:after="0"/>
        <w:ind w:left="1416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 xml:space="preserve">Suggérer et laisser le temps aux élèves le temps de faire le diagramme en barre de comparaison de fréquences et probabilités sur Excel (prend environ 10min) pour mieux </w:t>
      </w:r>
      <w:r w:rsidRPr="005140EC">
        <w:rPr>
          <w:rFonts w:ascii="Century schoolbook" w:hAnsi="Century schoolbook"/>
          <w:sz w:val="20"/>
          <w:szCs w:val="20"/>
        </w:rPr>
        <w:t>visualiser.</w:t>
      </w:r>
      <w:r w:rsidRPr="005140EC">
        <w:rPr>
          <w:rFonts w:ascii="Century schoolbook" w:hAnsi="Century schoolbook"/>
          <w:sz w:val="20"/>
          <w:szCs w:val="20"/>
        </w:rPr>
        <w:t xml:space="preserve"> </w:t>
      </w:r>
    </w:p>
    <w:p w14:paraId="41E4945D" w14:textId="77777777" w:rsidR="005140EC" w:rsidRPr="005140EC" w:rsidRDefault="005140EC" w:rsidP="005140EC">
      <w:pPr>
        <w:pStyle w:val="NormalWeb"/>
        <w:spacing w:before="0" w:beforeAutospacing="0" w:after="0"/>
        <w:ind w:left="720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b/>
          <w:bCs/>
          <w:i/>
          <w:iCs/>
          <w:sz w:val="20"/>
          <w:szCs w:val="20"/>
        </w:rPr>
        <w:t xml:space="preserve">Étape 3 : </w:t>
      </w:r>
    </w:p>
    <w:p w14:paraId="791C7E09" w14:textId="0E84F8C6" w:rsidR="005140EC" w:rsidRPr="005140EC" w:rsidRDefault="005140EC" w:rsidP="005140EC">
      <w:pPr>
        <w:pStyle w:val="NormalWeb"/>
        <w:spacing w:before="0" w:beforeAutospacing="0" w:after="0"/>
        <w:ind w:left="1416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 xml:space="preserve">Cette étape peut être faite ou non suivant l’objectif de la séance (prévoir une vingtaine de minutes suivant les connaissance des élèves) </w:t>
      </w:r>
    </w:p>
    <w:p w14:paraId="551C1FB2" w14:textId="77777777" w:rsidR="005140EC" w:rsidRPr="005140EC" w:rsidRDefault="005140EC" w:rsidP="005140EC">
      <w:pPr>
        <w:pStyle w:val="NormalWeb"/>
        <w:spacing w:before="0" w:beforeAutospacing="0" w:after="0"/>
        <w:ind w:left="1416"/>
        <w:rPr>
          <w:rFonts w:ascii="Century schoolbook" w:hAnsi="Century schoolbook"/>
          <w:sz w:val="20"/>
          <w:szCs w:val="20"/>
        </w:rPr>
      </w:pPr>
      <w:r w:rsidRPr="005140EC">
        <w:rPr>
          <w:rFonts w:ascii="Century schoolbook" w:hAnsi="Century schoolbook"/>
          <w:sz w:val="20"/>
          <w:szCs w:val="20"/>
        </w:rPr>
        <w:t xml:space="preserve">Prolongement possible : demander aux élèves d’écrire un algorithme permettant de calculer l’écart-type (après avoir donné la formule par exemple). </w:t>
      </w:r>
    </w:p>
    <w:p w14:paraId="32F8D664" w14:textId="77777777" w:rsidR="005140EC" w:rsidRPr="005140EC" w:rsidRDefault="005140EC" w:rsidP="005140EC">
      <w:pPr>
        <w:spacing w:after="0" w:line="276" w:lineRule="auto"/>
        <w:rPr>
          <w:rFonts w:ascii="Century schoolbook" w:hAnsi="Century schoolbook"/>
          <w:sz w:val="20"/>
          <w:szCs w:val="20"/>
        </w:rPr>
      </w:pPr>
    </w:p>
    <w:p w14:paraId="40CB55CC" w14:textId="09B0D4D0" w:rsidR="00310CAD" w:rsidRPr="005140EC" w:rsidRDefault="00310CAD" w:rsidP="005140EC">
      <w:pPr>
        <w:spacing w:after="0" w:line="276" w:lineRule="auto"/>
        <w:rPr>
          <w:rFonts w:ascii="Century schoolbook" w:hAnsi="Century schoolbook"/>
          <w:sz w:val="20"/>
          <w:szCs w:val="20"/>
        </w:rPr>
      </w:pPr>
    </w:p>
    <w:sectPr w:rsidR="00310CAD" w:rsidRPr="005140EC" w:rsidSect="006A6A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F2D6D"/>
    <w:multiLevelType w:val="multilevel"/>
    <w:tmpl w:val="E25475F8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947AB"/>
    <w:multiLevelType w:val="multilevel"/>
    <w:tmpl w:val="5AD89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46120610">
    <w:abstractNumId w:val="1"/>
  </w:num>
  <w:num w:numId="2" w16cid:durableId="125509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FCA"/>
    <w:rsid w:val="000405A8"/>
    <w:rsid w:val="00067450"/>
    <w:rsid w:val="000B099B"/>
    <w:rsid w:val="000B62A1"/>
    <w:rsid w:val="000D652A"/>
    <w:rsid w:val="00173554"/>
    <w:rsid w:val="00177B8D"/>
    <w:rsid w:val="00184EA8"/>
    <w:rsid w:val="0019204B"/>
    <w:rsid w:val="001D3C8A"/>
    <w:rsid w:val="001F35C8"/>
    <w:rsid w:val="00275EEE"/>
    <w:rsid w:val="002C32BC"/>
    <w:rsid w:val="00310CAD"/>
    <w:rsid w:val="003F6BCD"/>
    <w:rsid w:val="004825BD"/>
    <w:rsid w:val="004A7674"/>
    <w:rsid w:val="0050693B"/>
    <w:rsid w:val="005140EC"/>
    <w:rsid w:val="00536ACB"/>
    <w:rsid w:val="00544CB7"/>
    <w:rsid w:val="005907D1"/>
    <w:rsid w:val="005B60FE"/>
    <w:rsid w:val="005D5B3A"/>
    <w:rsid w:val="006A6A4E"/>
    <w:rsid w:val="006E0562"/>
    <w:rsid w:val="00783365"/>
    <w:rsid w:val="00787C5E"/>
    <w:rsid w:val="007E1E51"/>
    <w:rsid w:val="007E5139"/>
    <w:rsid w:val="007E77CB"/>
    <w:rsid w:val="008C052F"/>
    <w:rsid w:val="0091727F"/>
    <w:rsid w:val="00982F59"/>
    <w:rsid w:val="009D513A"/>
    <w:rsid w:val="009E0CB0"/>
    <w:rsid w:val="00A31678"/>
    <w:rsid w:val="00A86908"/>
    <w:rsid w:val="00AC661C"/>
    <w:rsid w:val="00B35E65"/>
    <w:rsid w:val="00B6499E"/>
    <w:rsid w:val="00CC1EDD"/>
    <w:rsid w:val="00D26D91"/>
    <w:rsid w:val="00E839FB"/>
    <w:rsid w:val="00EF1FCA"/>
    <w:rsid w:val="00F86E96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6E1A1"/>
  <w15:docId w15:val="{3F69B261-55B8-4744-B4AA-E42739E9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F1FCA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EF1FCA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6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E9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982F59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82F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thix.org/jeu-stopoucontinue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700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Julien, PRIGENT</dc:creator>
  <cp:lastModifiedBy>Haslé Maud</cp:lastModifiedBy>
  <cp:revision>17</cp:revision>
  <cp:lastPrinted>2021-10-11T12:37:00Z</cp:lastPrinted>
  <dcterms:created xsi:type="dcterms:W3CDTF">2022-06-16T07:03:00Z</dcterms:created>
  <dcterms:modified xsi:type="dcterms:W3CDTF">2023-05-05T15:51:00Z</dcterms:modified>
</cp:coreProperties>
</file>